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ASX"/>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510"/>
      </w:tblGrid>
      <w:tr w:rsidR="005C030B" w:rsidTr="005C030B">
        <w:trPr>
          <w:cnfStyle w:val="100000000000" w:firstRow="1" w:lastRow="0" w:firstColumn="0" w:lastColumn="0" w:oddVBand="0" w:evenVBand="0" w:oddHBand="0" w:evenHBand="0" w:firstRowFirstColumn="0" w:firstRowLastColumn="0" w:lastRowFirstColumn="0" w:lastRowLastColumn="0"/>
          <w:cantSplit/>
        </w:trPr>
        <w:tc>
          <w:tcPr>
            <w:tcW w:w="9510" w:type="dxa"/>
            <w:shd w:val="clear" w:color="auto" w:fill="00B0F0"/>
          </w:tcPr>
          <w:p w:rsidR="005C030B" w:rsidRPr="00027954" w:rsidRDefault="005C030B" w:rsidP="00987A6C">
            <w:pPr>
              <w:pStyle w:val="TableHeading"/>
              <w:rPr>
                <w:szCs w:val="22"/>
              </w:rPr>
            </w:pPr>
            <w:r>
              <w:rPr>
                <w:szCs w:val="22"/>
              </w:rPr>
              <w:t>C</w:t>
            </w:r>
            <w:bookmarkStart w:id="0" w:name="_GoBack"/>
            <w:bookmarkEnd w:id="0"/>
            <w:r w:rsidRPr="00027954">
              <w:rPr>
                <w:szCs w:val="22"/>
              </w:rPr>
              <w:t>onsultation questions</w:t>
            </w:r>
            <w:r>
              <w:rPr>
                <w:szCs w:val="22"/>
              </w:rPr>
              <w:t xml:space="preserve"> and answers</w:t>
            </w:r>
          </w:p>
        </w:tc>
      </w:tr>
      <w:tr w:rsidR="005C030B" w:rsidTr="005C030B">
        <w:trPr>
          <w:cantSplit/>
        </w:trPr>
        <w:tc>
          <w:tcPr>
            <w:tcW w:w="9510" w:type="dxa"/>
            <w:shd w:val="clear" w:color="auto" w:fill="D5DCE4" w:themeFill="text2" w:themeFillTint="33"/>
          </w:tcPr>
          <w:p w:rsidR="005C030B" w:rsidRDefault="005C030B" w:rsidP="00987A6C">
            <w:pPr>
              <w:pStyle w:val="TableText"/>
            </w:pPr>
            <w:r>
              <w:t>1. Do you support the introduction of a 20% minimum free float requirement? If not, why not and would you support a different minimum free float requirement?</w:t>
            </w:r>
          </w:p>
        </w:tc>
      </w:tr>
      <w:tr w:rsidR="005C030B" w:rsidTr="005C030B">
        <w:trPr>
          <w:cantSplit/>
        </w:trPr>
        <w:tc>
          <w:tcPr>
            <w:tcW w:w="9510" w:type="dxa"/>
            <w:shd w:val="clear" w:color="auto" w:fill="E7E6E6" w:themeFill="background2"/>
          </w:tcPr>
          <w:p w:rsidR="005C030B" w:rsidRDefault="005C030B" w:rsidP="00987A6C">
            <w:pPr>
              <w:pStyle w:val="TableText"/>
            </w:pPr>
          </w:p>
        </w:tc>
      </w:tr>
      <w:tr w:rsidR="005C030B" w:rsidTr="005C030B">
        <w:trPr>
          <w:cantSplit/>
        </w:trPr>
        <w:tc>
          <w:tcPr>
            <w:tcW w:w="9510" w:type="dxa"/>
            <w:shd w:val="clear" w:color="auto" w:fill="D5DCE4" w:themeFill="text2" w:themeFillTint="33"/>
          </w:tcPr>
          <w:p w:rsidR="005C030B" w:rsidRDefault="005C030B" w:rsidP="00987A6C">
            <w:pPr>
              <w:pStyle w:val="TableText"/>
            </w:pPr>
            <w:r>
              <w:t>2. Do you have any comments on the proposed definitions of “free float” and “non-affiliated security holder” for the purpose of the proposed minimum free float requirement? Do you see any issues with excluding shares that are subject to voluntary escrow from the definition of “free float”?</w:t>
            </w:r>
          </w:p>
        </w:tc>
      </w:tr>
      <w:tr w:rsidR="005C030B" w:rsidTr="005C030B">
        <w:trPr>
          <w:cantSplit/>
        </w:trPr>
        <w:tc>
          <w:tcPr>
            <w:tcW w:w="9510" w:type="dxa"/>
          </w:tcPr>
          <w:p w:rsidR="005C030B" w:rsidRDefault="005C030B" w:rsidP="00987A6C">
            <w:pPr>
              <w:pStyle w:val="TableText"/>
            </w:pPr>
          </w:p>
        </w:tc>
      </w:tr>
      <w:tr w:rsidR="005C030B" w:rsidTr="005C030B">
        <w:trPr>
          <w:cantSplit/>
        </w:trPr>
        <w:tc>
          <w:tcPr>
            <w:tcW w:w="9510" w:type="dxa"/>
            <w:shd w:val="clear" w:color="auto" w:fill="D5DCE4" w:themeFill="text2" w:themeFillTint="33"/>
          </w:tcPr>
          <w:p w:rsidR="005C030B" w:rsidRDefault="005C030B" w:rsidP="00987A6C">
            <w:pPr>
              <w:pStyle w:val="TableText"/>
            </w:pPr>
            <w:r>
              <w:t>3. Do you support the proposed changes to the spread test? If not, what element or elements of the changes do you not support, and what are your reasons?</w:t>
            </w:r>
          </w:p>
        </w:tc>
      </w:tr>
      <w:tr w:rsidR="005C030B" w:rsidTr="005C030B">
        <w:trPr>
          <w:cantSplit/>
        </w:trPr>
        <w:tc>
          <w:tcPr>
            <w:tcW w:w="9510" w:type="dxa"/>
          </w:tcPr>
          <w:p w:rsidR="005C030B" w:rsidRDefault="005C030B" w:rsidP="00987A6C">
            <w:pPr>
              <w:pStyle w:val="TableText"/>
            </w:pPr>
          </w:p>
        </w:tc>
      </w:tr>
      <w:tr w:rsidR="005C030B" w:rsidTr="005C030B">
        <w:trPr>
          <w:cantSplit/>
        </w:trPr>
        <w:tc>
          <w:tcPr>
            <w:tcW w:w="9510" w:type="dxa"/>
            <w:shd w:val="clear" w:color="auto" w:fill="D5DCE4" w:themeFill="text2" w:themeFillTint="33"/>
          </w:tcPr>
          <w:p w:rsidR="005C030B" w:rsidRDefault="005C030B" w:rsidP="00987A6C">
            <w:pPr>
              <w:pStyle w:val="TableText"/>
            </w:pPr>
            <w:r>
              <w:t>4. Do you support the increase in the last year’s profit element of the profit test? If not, please provide your reasons.</w:t>
            </w:r>
          </w:p>
        </w:tc>
      </w:tr>
      <w:tr w:rsidR="005C030B" w:rsidTr="005C030B">
        <w:trPr>
          <w:cantSplit/>
        </w:trPr>
        <w:tc>
          <w:tcPr>
            <w:tcW w:w="9510" w:type="dxa"/>
          </w:tcPr>
          <w:p w:rsidR="005C030B" w:rsidRDefault="005C030B" w:rsidP="00987A6C">
            <w:pPr>
              <w:pStyle w:val="TableText"/>
            </w:pPr>
          </w:p>
        </w:tc>
      </w:tr>
      <w:tr w:rsidR="005C030B" w:rsidTr="005C030B">
        <w:trPr>
          <w:cantSplit/>
        </w:trPr>
        <w:tc>
          <w:tcPr>
            <w:tcW w:w="9510" w:type="dxa"/>
            <w:shd w:val="clear" w:color="auto" w:fill="D5DCE4" w:themeFill="text2" w:themeFillTint="33"/>
          </w:tcPr>
          <w:p w:rsidR="005C030B" w:rsidRDefault="005C030B" w:rsidP="00987A6C">
            <w:pPr>
              <w:pStyle w:val="TableText"/>
            </w:pPr>
            <w:r>
              <w:t xml:space="preserve">5. </w:t>
            </w:r>
            <w:r w:rsidRPr="0054585A">
              <w:t>Do you support the increase in the</w:t>
            </w:r>
            <w:r>
              <w:t xml:space="preserve"> net tangible assets and market capitalisation elements of the assets test? If not, please provide your reasons.</w:t>
            </w:r>
          </w:p>
        </w:tc>
      </w:tr>
      <w:tr w:rsidR="005C030B" w:rsidTr="005C030B">
        <w:trPr>
          <w:cantSplit/>
        </w:trPr>
        <w:tc>
          <w:tcPr>
            <w:tcW w:w="9510" w:type="dxa"/>
          </w:tcPr>
          <w:p w:rsidR="005C030B" w:rsidRDefault="005C030B" w:rsidP="00987A6C">
            <w:pPr>
              <w:pStyle w:val="TableText"/>
            </w:pPr>
          </w:p>
        </w:tc>
      </w:tr>
      <w:tr w:rsidR="005C030B" w:rsidTr="005C030B">
        <w:trPr>
          <w:cantSplit/>
        </w:trPr>
        <w:tc>
          <w:tcPr>
            <w:tcW w:w="9510" w:type="dxa"/>
            <w:shd w:val="clear" w:color="auto" w:fill="D5DCE4" w:themeFill="text2" w:themeFillTint="33"/>
          </w:tcPr>
          <w:p w:rsidR="005C030B" w:rsidRDefault="005C030B" w:rsidP="00987A6C">
            <w:pPr>
              <w:pStyle w:val="TableText"/>
            </w:pPr>
            <w:r>
              <w:t>6. Do you think it is appropriate to extend the minimum requirement for $1.5 million working capital after deducting the first year’s budgeted administration costs and costs of acquiring any assets (to the extent that those costs will be met out of working capital)</w:t>
            </w:r>
            <w:r w:rsidRPr="00772FC7">
              <w:t xml:space="preserve"> to all </w:t>
            </w:r>
            <w:r>
              <w:t>entities</w:t>
            </w:r>
            <w:r w:rsidRPr="00772FC7">
              <w:t xml:space="preserve"> admitted under the assets test</w:t>
            </w:r>
            <w:r>
              <w:t>? If not, please provide your reasons.</w:t>
            </w:r>
          </w:p>
        </w:tc>
      </w:tr>
      <w:tr w:rsidR="005C030B" w:rsidTr="005C030B">
        <w:trPr>
          <w:cantSplit/>
        </w:trPr>
        <w:tc>
          <w:tcPr>
            <w:tcW w:w="9510" w:type="dxa"/>
            <w:shd w:val="clear" w:color="auto" w:fill="FFFFFF" w:themeFill="background1"/>
          </w:tcPr>
          <w:p w:rsidR="005C030B" w:rsidRDefault="005C030B" w:rsidP="00987A6C">
            <w:pPr>
              <w:pStyle w:val="TableText"/>
            </w:pPr>
          </w:p>
        </w:tc>
      </w:tr>
      <w:tr w:rsidR="005C030B" w:rsidTr="005C030B">
        <w:trPr>
          <w:cantSplit/>
        </w:trPr>
        <w:tc>
          <w:tcPr>
            <w:tcW w:w="9510" w:type="dxa"/>
            <w:shd w:val="clear" w:color="auto" w:fill="D5DCE4" w:themeFill="text2" w:themeFillTint="33"/>
          </w:tcPr>
          <w:p w:rsidR="005C030B" w:rsidRDefault="005C030B" w:rsidP="00987A6C">
            <w:pPr>
              <w:pStyle w:val="TableText"/>
            </w:pPr>
            <w:r>
              <w:t>7. Do you think it is appropriate to maintain a fixed minimum $1.5 million working capital requirement in addition to a requirement for the entity admitted under the assets test to make a statement that it has sufficient working capital to meet its stated objectives? If you think the fixed working capital requirement should be a different amount, please tell us the amount and explain why.</w:t>
            </w:r>
          </w:p>
        </w:tc>
      </w:tr>
      <w:tr w:rsidR="005C030B" w:rsidTr="005C030B">
        <w:trPr>
          <w:cantSplit/>
        </w:trPr>
        <w:tc>
          <w:tcPr>
            <w:tcW w:w="9510" w:type="dxa"/>
          </w:tcPr>
          <w:p w:rsidR="005C030B" w:rsidRDefault="005C030B" w:rsidP="00987A6C">
            <w:pPr>
              <w:pStyle w:val="TableText"/>
            </w:pPr>
          </w:p>
        </w:tc>
      </w:tr>
      <w:tr w:rsidR="005C030B" w:rsidTr="005C030B">
        <w:trPr>
          <w:cantSplit/>
        </w:trPr>
        <w:tc>
          <w:tcPr>
            <w:tcW w:w="9510" w:type="dxa"/>
            <w:shd w:val="clear" w:color="auto" w:fill="D5DCE4" w:themeFill="text2" w:themeFillTint="33"/>
          </w:tcPr>
          <w:p w:rsidR="005C030B" w:rsidRDefault="005C030B" w:rsidP="00987A6C">
            <w:pPr>
              <w:pStyle w:val="TableText"/>
            </w:pPr>
            <w:r>
              <w:t>8. Do you support the proposed requirement for entities admitted under the assets test to provide 3 full financial years of audited accounts, unless ASX approves otherwise? If not, please provide your reasons and describe what, if any, alternative approach you consider should be taken by ASX in order to meet the objectives of the proposed change.</w:t>
            </w:r>
          </w:p>
        </w:tc>
      </w:tr>
      <w:tr w:rsidR="005C030B" w:rsidTr="005C030B">
        <w:trPr>
          <w:cantSplit/>
        </w:trPr>
        <w:tc>
          <w:tcPr>
            <w:tcW w:w="9510" w:type="dxa"/>
          </w:tcPr>
          <w:p w:rsidR="005C030B" w:rsidRDefault="005C030B" w:rsidP="00987A6C">
            <w:pPr>
              <w:pStyle w:val="TableText"/>
            </w:pPr>
          </w:p>
        </w:tc>
      </w:tr>
      <w:tr w:rsidR="005C030B" w:rsidTr="005C030B">
        <w:trPr>
          <w:cantSplit/>
        </w:trPr>
        <w:tc>
          <w:tcPr>
            <w:tcW w:w="9510" w:type="dxa"/>
            <w:shd w:val="clear" w:color="auto" w:fill="D5DCE4" w:themeFill="text2" w:themeFillTint="33"/>
          </w:tcPr>
          <w:p w:rsidR="005C030B" w:rsidRDefault="005C030B" w:rsidP="00987A6C">
            <w:pPr>
              <w:pStyle w:val="TableText"/>
            </w:pPr>
            <w:r>
              <w:t xml:space="preserve">9. ASX has proposed that it will generally accept less than 3 years of audited accounts for an assets test entity (or an entity or business to be acquired by the entity) only in the </w:t>
            </w:r>
            <w:r w:rsidRPr="00A502F7">
              <w:t xml:space="preserve">circumstances where ASIC </w:t>
            </w:r>
            <w:r>
              <w:t>will</w:t>
            </w:r>
            <w:r w:rsidRPr="00A502F7">
              <w:t xml:space="preserve"> </w:t>
            </w:r>
            <w:r>
              <w:t>accept less than 3 full years of accounts in a disclosure document</w:t>
            </w:r>
            <w:r w:rsidRPr="00A502F7">
              <w:t xml:space="preserve">, as explained in </w:t>
            </w:r>
            <w:r w:rsidRPr="00A14D9B">
              <w:t>Part F of ASIC Regulatory Guide 228</w:t>
            </w:r>
            <w:r>
              <w:t xml:space="preserve"> (RG 228).</w:t>
            </w:r>
          </w:p>
          <w:p w:rsidR="005C030B" w:rsidRDefault="005C030B" w:rsidP="00987A6C">
            <w:pPr>
              <w:pStyle w:val="TableText"/>
            </w:pPr>
            <w:r>
              <w:t>Simultaneously with the release of this consultation paper, ASIC has released a consultation paper seeking comments on proposed changes to RG 228 setting out these circumstances.</w:t>
            </w:r>
          </w:p>
          <w:p w:rsidR="005C030B" w:rsidRDefault="005C030B" w:rsidP="00987A6C">
            <w:pPr>
              <w:pStyle w:val="TableText"/>
            </w:pPr>
            <w:r>
              <w:t>Are there additional circumstances where you consider ASX should be prepared to accept less than 3 years of audited accounts to those outlined in ASIC’s consultation paper on RG 228?</w:t>
            </w:r>
          </w:p>
        </w:tc>
      </w:tr>
      <w:tr w:rsidR="005C030B" w:rsidTr="005C030B">
        <w:trPr>
          <w:cantSplit/>
        </w:trPr>
        <w:tc>
          <w:tcPr>
            <w:tcW w:w="9510" w:type="dxa"/>
            <w:shd w:val="clear" w:color="auto" w:fill="auto"/>
          </w:tcPr>
          <w:p w:rsidR="005C030B" w:rsidRDefault="005C030B" w:rsidP="00987A6C">
            <w:pPr>
              <w:pStyle w:val="TableText"/>
            </w:pPr>
          </w:p>
        </w:tc>
      </w:tr>
      <w:tr w:rsidR="005C030B" w:rsidTr="005C030B">
        <w:trPr>
          <w:cantSplit/>
        </w:trPr>
        <w:tc>
          <w:tcPr>
            <w:tcW w:w="9510" w:type="dxa"/>
            <w:shd w:val="clear" w:color="auto" w:fill="D5DCE4" w:themeFill="text2" w:themeFillTint="33"/>
          </w:tcPr>
          <w:p w:rsidR="005C030B" w:rsidRDefault="005C030B" w:rsidP="00987A6C">
            <w:pPr>
              <w:pStyle w:val="TableText"/>
            </w:pPr>
            <w:r>
              <w:lastRenderedPageBreak/>
              <w:t xml:space="preserve">10. ASX has also proposed that it will only accept the types of </w:t>
            </w:r>
            <w:r w:rsidRPr="0089340A">
              <w:t>modified opinion, emphasis of matter or other ma</w:t>
            </w:r>
            <w:r>
              <w:t>t</w:t>
            </w:r>
            <w:r w:rsidRPr="0089340A">
              <w:t>ter paragraph</w:t>
            </w:r>
            <w:r>
              <w:t xml:space="preserve"> in accounts lodged with a listing application that</w:t>
            </w:r>
            <w:r w:rsidRPr="00A502F7">
              <w:t xml:space="preserve"> ASIC </w:t>
            </w:r>
            <w:r>
              <w:t>will accept in a disclosure document</w:t>
            </w:r>
            <w:r w:rsidRPr="00A502F7">
              <w:t xml:space="preserve">, as explained in </w:t>
            </w:r>
            <w:r w:rsidRPr="00A14D9B">
              <w:t xml:space="preserve">Part F of </w:t>
            </w:r>
            <w:r>
              <w:t xml:space="preserve">RG 228. Are there additional types of </w:t>
            </w:r>
            <w:r w:rsidRPr="0089340A">
              <w:t>modified opinion, emphasis of matter or other ma</w:t>
            </w:r>
            <w:r>
              <w:t>t</w:t>
            </w:r>
            <w:r w:rsidRPr="0089340A">
              <w:t>ter paragraph</w:t>
            </w:r>
            <w:r>
              <w:t xml:space="preserve"> that you consider ASX should be prepared to accept to those outlined in ASIC’s consultation paper on RG 228?</w:t>
            </w:r>
          </w:p>
        </w:tc>
      </w:tr>
      <w:tr w:rsidR="005C030B" w:rsidTr="005C030B">
        <w:trPr>
          <w:cantSplit/>
        </w:trPr>
        <w:tc>
          <w:tcPr>
            <w:tcW w:w="9510" w:type="dxa"/>
            <w:shd w:val="clear" w:color="auto" w:fill="auto"/>
          </w:tcPr>
          <w:p w:rsidR="005C030B" w:rsidRDefault="005C030B" w:rsidP="00987A6C">
            <w:pPr>
              <w:pStyle w:val="TableText"/>
            </w:pPr>
          </w:p>
        </w:tc>
      </w:tr>
      <w:tr w:rsidR="005C030B" w:rsidTr="005C030B">
        <w:trPr>
          <w:cantSplit/>
        </w:trPr>
        <w:tc>
          <w:tcPr>
            <w:tcW w:w="9510" w:type="dxa"/>
            <w:shd w:val="clear" w:color="auto" w:fill="D5DCE4" w:themeFill="text2" w:themeFillTint="33"/>
          </w:tcPr>
          <w:p w:rsidR="005C030B" w:rsidRDefault="005C030B" w:rsidP="00987A6C">
            <w:pPr>
              <w:pStyle w:val="TableText"/>
            </w:pPr>
            <w:r>
              <w:t xml:space="preserve">11. Do you agree with the list of overseas home exchanges proposed in section 2.1 of Guidance Note 4 (ie the main boards of </w:t>
            </w:r>
            <w:r w:rsidRPr="00FD354A">
              <w:rPr>
                <w:szCs w:val="18"/>
              </w:rPr>
              <w:t xml:space="preserve">Deutsche Börse, EuroNext (Amsterdam), EuroNext (Brussels), EuroNext (Paris), HKSE, </w:t>
            </w:r>
            <w:r>
              <w:rPr>
                <w:szCs w:val="18"/>
              </w:rPr>
              <w:t xml:space="preserve">JSE, </w:t>
            </w:r>
            <w:r w:rsidRPr="00FD354A">
              <w:rPr>
                <w:szCs w:val="18"/>
              </w:rPr>
              <w:t>LSE, SGX, TSE (Tokyo), TSX (Toronto), NASDAQ, NYSE and NZX</w:t>
            </w:r>
            <w:r>
              <w:t xml:space="preserve"> ) as being ones generally acceptable for an ASX Foreign Exempt listing? Are there any of these exchanges you would delete from this list? Are there any other exchanges you would add to this list?</w:t>
            </w:r>
          </w:p>
        </w:tc>
      </w:tr>
      <w:tr w:rsidR="005C030B" w:rsidTr="005C030B">
        <w:trPr>
          <w:cantSplit/>
          <w:trHeight w:val="137"/>
        </w:trPr>
        <w:tc>
          <w:tcPr>
            <w:tcW w:w="9510" w:type="dxa"/>
          </w:tcPr>
          <w:p w:rsidR="005C030B" w:rsidRDefault="005C030B" w:rsidP="00987A6C">
            <w:pPr>
              <w:pStyle w:val="TableText"/>
            </w:pPr>
          </w:p>
        </w:tc>
      </w:tr>
      <w:tr w:rsidR="005C030B" w:rsidTr="005C030B">
        <w:trPr>
          <w:cantSplit/>
          <w:trHeight w:val="137"/>
        </w:trPr>
        <w:tc>
          <w:tcPr>
            <w:tcW w:w="9510" w:type="dxa"/>
            <w:shd w:val="clear" w:color="auto" w:fill="D5DCE4" w:themeFill="text2" w:themeFillTint="33"/>
          </w:tcPr>
          <w:p w:rsidR="005C030B" w:rsidRDefault="005C030B" w:rsidP="00987A6C">
            <w:pPr>
              <w:pStyle w:val="TableText"/>
            </w:pPr>
            <w:r>
              <w:t>12. Do you agree with the introduction of a further window for admission for ASX Foreign Exempt listings allowing them to be admitted to ASX if their market capitalisation is at least $2,000 million? If not, what threshold (if any) do you think would be appropriate?</w:t>
            </w:r>
          </w:p>
        </w:tc>
      </w:tr>
      <w:tr w:rsidR="005C030B" w:rsidTr="005C030B">
        <w:trPr>
          <w:cantSplit/>
          <w:trHeight w:val="137"/>
        </w:trPr>
        <w:tc>
          <w:tcPr>
            <w:tcW w:w="9510" w:type="dxa"/>
          </w:tcPr>
          <w:p w:rsidR="005C030B" w:rsidRDefault="005C030B" w:rsidP="00987A6C">
            <w:pPr>
              <w:pStyle w:val="TableText"/>
            </w:pPr>
          </w:p>
        </w:tc>
      </w:tr>
      <w:tr w:rsidR="005C030B" w:rsidTr="005C030B">
        <w:trPr>
          <w:cantSplit/>
        </w:trPr>
        <w:tc>
          <w:tcPr>
            <w:tcW w:w="9510" w:type="dxa"/>
            <w:shd w:val="clear" w:color="auto" w:fill="D5DCE4" w:themeFill="text2" w:themeFillTint="33"/>
          </w:tcPr>
          <w:p w:rsidR="005C030B" w:rsidRDefault="005C030B" w:rsidP="00987A6C">
            <w:pPr>
              <w:pStyle w:val="TableText"/>
            </w:pPr>
            <w:r>
              <w:t>13. Are there any specific issues or concerns that you can identify that would result from ASX removing the current requirements for foreign entities listed on ASX to maintain certificated registers in Australia?</w:t>
            </w:r>
          </w:p>
        </w:tc>
      </w:tr>
      <w:tr w:rsidR="005C030B" w:rsidTr="005C030B">
        <w:trPr>
          <w:cantSplit/>
        </w:trPr>
        <w:tc>
          <w:tcPr>
            <w:tcW w:w="9510" w:type="dxa"/>
          </w:tcPr>
          <w:p w:rsidR="005C030B" w:rsidRDefault="005C030B" w:rsidP="00987A6C">
            <w:pPr>
              <w:pStyle w:val="TableText"/>
            </w:pPr>
          </w:p>
        </w:tc>
      </w:tr>
      <w:tr w:rsidR="005C030B" w:rsidTr="005C030B">
        <w:trPr>
          <w:cantSplit/>
          <w:trHeight w:val="137"/>
        </w:trPr>
        <w:tc>
          <w:tcPr>
            <w:tcW w:w="9510" w:type="dxa"/>
            <w:shd w:val="clear" w:color="auto" w:fill="D5DCE4" w:themeFill="text2" w:themeFillTint="33"/>
          </w:tcPr>
          <w:p w:rsidR="005C030B" w:rsidRDefault="005C030B" w:rsidP="00987A6C">
            <w:pPr>
              <w:pStyle w:val="TableText"/>
            </w:pPr>
            <w:r w:rsidRPr="00092773">
              <w:t>14. Do you believe the transition date of 1 September 2016 that ASX proposes for the introduction of the new admission rules is appropriate? If you think it should be sooner or later, please explain why?</w:t>
            </w:r>
          </w:p>
        </w:tc>
      </w:tr>
      <w:tr w:rsidR="005C030B" w:rsidTr="005C030B">
        <w:trPr>
          <w:cantSplit/>
          <w:trHeight w:val="137"/>
        </w:trPr>
        <w:tc>
          <w:tcPr>
            <w:tcW w:w="9510" w:type="dxa"/>
          </w:tcPr>
          <w:p w:rsidR="005C030B" w:rsidRDefault="005C030B" w:rsidP="00987A6C">
            <w:pPr>
              <w:pStyle w:val="TableText"/>
            </w:pPr>
          </w:p>
        </w:tc>
      </w:tr>
      <w:tr w:rsidR="005C030B" w:rsidTr="005C030B">
        <w:trPr>
          <w:cantSplit/>
          <w:trHeight w:val="137"/>
        </w:trPr>
        <w:tc>
          <w:tcPr>
            <w:tcW w:w="9510" w:type="dxa"/>
            <w:shd w:val="clear" w:color="auto" w:fill="D5DCE4" w:themeFill="text2" w:themeFillTint="33"/>
          </w:tcPr>
          <w:p w:rsidR="005C030B" w:rsidRDefault="005C030B" w:rsidP="00987A6C">
            <w:pPr>
              <w:pStyle w:val="TableText"/>
            </w:pPr>
            <w:r>
              <w:t>15. Do you have any other comments on the issues discussed in this paper or the proposed listing rule and Guidance Note changes?</w:t>
            </w:r>
          </w:p>
        </w:tc>
      </w:tr>
      <w:tr w:rsidR="005C030B" w:rsidTr="005C030B">
        <w:trPr>
          <w:cantSplit/>
          <w:trHeight w:val="137"/>
        </w:trPr>
        <w:tc>
          <w:tcPr>
            <w:tcW w:w="9510" w:type="dxa"/>
          </w:tcPr>
          <w:p w:rsidR="005C030B" w:rsidRDefault="005C030B" w:rsidP="00987A6C">
            <w:pPr>
              <w:pStyle w:val="TableText"/>
            </w:pPr>
          </w:p>
        </w:tc>
      </w:tr>
    </w:tbl>
    <w:p w:rsidR="005C030B" w:rsidRDefault="005C030B" w:rsidP="005C030B">
      <w:pPr>
        <w:spacing w:line="240" w:lineRule="auto"/>
      </w:pPr>
    </w:p>
    <w:sectPr w:rsidR="005C030B" w:rsidSect="00E70C8E">
      <w:headerReference w:type="default" r:id="rId6"/>
      <w:footerReference w:type="default" r:id="rId7"/>
      <w:pgSz w:w="11906" w:h="16838" w:code="9"/>
      <w:pgMar w:top="1843" w:right="1134" w:bottom="1134" w:left="1134" w:header="539" w:footer="227"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30B" w:rsidRDefault="005C030B" w:rsidP="005C030B">
      <w:pPr>
        <w:spacing w:after="0" w:line="240" w:lineRule="auto"/>
      </w:pPr>
      <w:r>
        <w:separator/>
      </w:r>
    </w:p>
  </w:endnote>
  <w:endnote w:type="continuationSeparator" w:id="0">
    <w:p w:rsidR="005C030B" w:rsidRDefault="005C030B" w:rsidP="005C0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lober Regular">
    <w:altName w:val="Arial"/>
    <w:panose1 w:val="00000000000000000000"/>
    <w:charset w:val="00"/>
    <w:family w:val="modern"/>
    <w:notTrueType/>
    <w:pitch w:val="variable"/>
    <w:sig w:usb0="00000001" w:usb1="5000207B" w:usb2="00000000" w:usb3="00000000" w:csb0="00000097"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219" w:type="dxa"/>
      <w:tblInd w:w="-224" w:type="dxa"/>
      <w:tblLook w:val="04A0" w:firstRow="1" w:lastRow="0" w:firstColumn="1" w:lastColumn="0" w:noHBand="0" w:noVBand="1"/>
    </w:tblPr>
    <w:tblGrid>
      <w:gridCol w:w="8021"/>
      <w:gridCol w:w="2198"/>
    </w:tblGrid>
    <w:tr w:rsidR="00ED1376" w:rsidRPr="00F94111" w:rsidTr="006F306C">
      <w:trPr>
        <w:cnfStyle w:val="100000000000" w:firstRow="1" w:lastRow="0" w:firstColumn="0" w:lastColumn="0" w:oddVBand="0" w:evenVBand="0" w:oddHBand="0" w:evenHBand="0" w:firstRowFirstColumn="0" w:firstRowLastColumn="0" w:lastRowFirstColumn="0" w:lastRowLastColumn="0"/>
      </w:trPr>
      <w:tc>
        <w:tcPr>
          <w:tcW w:w="8021" w:type="dxa"/>
          <w:tcMar>
            <w:top w:w="102" w:type="dxa"/>
          </w:tcMar>
        </w:tcPr>
        <w:p w:rsidR="00ED1376" w:rsidRPr="00F94111" w:rsidRDefault="005C030B" w:rsidP="000D6ECF">
          <w:pPr>
            <w:pStyle w:val="Footer"/>
          </w:pPr>
          <w:r>
            <w:t xml:space="preserve">© </w:t>
          </w:r>
          <w:r>
            <w:fldChar w:fldCharType="begin"/>
          </w:r>
          <w:r>
            <w:instrText xml:space="preserve"> DATE  \@ "yyyy" </w:instrText>
          </w:r>
          <w:r>
            <w:fldChar w:fldCharType="separate"/>
          </w:r>
          <w:r>
            <w:rPr>
              <w:noProof/>
            </w:rPr>
            <w:t>2016</w:t>
          </w:r>
          <w:r>
            <w:fldChar w:fldCharType="end"/>
          </w:r>
          <w:r w:rsidRPr="00F94111">
            <w:t xml:space="preserve"> ASX Limited ABN 98 008 624 691</w:t>
          </w:r>
        </w:p>
      </w:tc>
      <w:tc>
        <w:tcPr>
          <w:tcW w:w="2198" w:type="dxa"/>
          <w:tcMar>
            <w:top w:w="102" w:type="dxa"/>
          </w:tcMar>
        </w:tcPr>
        <w:p w:rsidR="00ED1376" w:rsidRPr="00F94111" w:rsidRDefault="005C030B" w:rsidP="000D6ECF">
          <w:pPr>
            <w:pStyle w:val="Footer"/>
            <w:jc w:val="right"/>
          </w:pPr>
          <w:r w:rsidRPr="00F94111">
            <w:fldChar w:fldCharType="begin"/>
          </w:r>
          <w:r w:rsidRPr="00F94111">
            <w:instrText xml:space="preserve"> PAGE  \* Arabic </w:instrText>
          </w:r>
          <w:r w:rsidRPr="00F94111">
            <w:fldChar w:fldCharType="separate"/>
          </w:r>
          <w:r>
            <w:rPr>
              <w:noProof/>
            </w:rPr>
            <w:t>1</w:t>
          </w:r>
          <w:r w:rsidRPr="00F94111">
            <w:fldChar w:fldCharType="end"/>
          </w:r>
          <w:r>
            <w:t>/</w:t>
          </w:r>
          <w:r>
            <w:fldChar w:fldCharType="begin"/>
          </w:r>
          <w:r>
            <w:instrText xml:space="preserve"> NUMPAGES  \* Arabic </w:instrText>
          </w:r>
          <w:r>
            <w:fldChar w:fldCharType="separate"/>
          </w:r>
          <w:r>
            <w:rPr>
              <w:noProof/>
            </w:rPr>
            <w:t>2</w:t>
          </w:r>
          <w:r>
            <w:rPr>
              <w:noProof/>
            </w:rPr>
            <w:fldChar w:fldCharType="end"/>
          </w:r>
          <w:r w:rsidRPr="00F94111">
            <w:t xml:space="preserve"> </w:t>
          </w:r>
        </w:p>
      </w:tc>
    </w:tr>
  </w:tbl>
  <w:p w:rsidR="00ED1376" w:rsidRPr="000D6ECF" w:rsidRDefault="005C030B" w:rsidP="000D6E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30B" w:rsidRDefault="005C030B" w:rsidP="005C030B">
      <w:pPr>
        <w:spacing w:after="0" w:line="240" w:lineRule="auto"/>
      </w:pPr>
      <w:r>
        <w:separator/>
      </w:r>
    </w:p>
  </w:footnote>
  <w:footnote w:type="continuationSeparator" w:id="0">
    <w:p w:rsidR="005C030B" w:rsidRDefault="005C030B" w:rsidP="005C03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8505"/>
    </w:tblGrid>
    <w:tr w:rsidR="00ED1376" w:rsidRPr="000D6ECF" w:rsidTr="00AD19BA">
      <w:trPr>
        <w:cnfStyle w:val="100000000000" w:firstRow="1" w:lastRow="0" w:firstColumn="0" w:lastColumn="0" w:oddVBand="0" w:evenVBand="0" w:oddHBand="0" w:evenHBand="0" w:firstRowFirstColumn="0" w:firstRowLastColumn="0" w:lastRowFirstColumn="0" w:lastRowLastColumn="0"/>
      </w:trPr>
      <w:tc>
        <w:tcPr>
          <w:tcW w:w="8505" w:type="dxa"/>
        </w:tcPr>
        <w:p w:rsidR="00ED1376" w:rsidRPr="005C030B" w:rsidRDefault="005C030B" w:rsidP="000D6ECF">
          <w:pPr>
            <w:pStyle w:val="Header"/>
            <w:tabs>
              <w:tab w:val="left" w:pos="2505"/>
            </w:tabs>
            <w:rPr>
              <w:b/>
              <w:sz w:val="24"/>
              <w:szCs w:val="24"/>
            </w:rPr>
          </w:pPr>
          <w:r w:rsidRPr="005C030B">
            <w:rPr>
              <w:b/>
              <w:sz w:val="24"/>
              <w:szCs w:val="24"/>
            </w:rPr>
            <w:t>Consultation</w:t>
          </w:r>
          <w:r>
            <w:rPr>
              <w:b/>
              <w:sz w:val="24"/>
              <w:szCs w:val="24"/>
            </w:rPr>
            <w:t xml:space="preserve"> Paper</w:t>
          </w:r>
          <w:r w:rsidRPr="005C030B">
            <w:rPr>
              <w:b/>
              <w:sz w:val="24"/>
              <w:szCs w:val="24"/>
            </w:rPr>
            <w:t xml:space="preserve">: </w:t>
          </w:r>
          <w:r w:rsidRPr="005C030B">
            <w:rPr>
              <w:b/>
              <w:i/>
              <w:sz w:val="24"/>
              <w:szCs w:val="24"/>
            </w:rPr>
            <w:t xml:space="preserve">Updating ASX’s admission requirements for </w:t>
          </w:r>
          <w:r w:rsidRPr="005C030B">
            <w:rPr>
              <w:b/>
              <w:i/>
              <w:sz w:val="24"/>
              <w:szCs w:val="24"/>
            </w:rPr>
            <w:t>listed entities</w:t>
          </w:r>
        </w:p>
      </w:tc>
    </w:tr>
  </w:tbl>
  <w:p w:rsidR="00ED1376" w:rsidRPr="00AD19BA" w:rsidRDefault="005C030B" w:rsidP="00666DFA">
    <w:pPr>
      <w:pStyle w:val="Header"/>
    </w:pPr>
    <w:r w:rsidRPr="000D6ECF">
      <w:rPr>
        <w:noProof/>
        <w:sz w:val="18"/>
        <w:szCs w:val="18"/>
        <w:lang w:eastAsia="en-AU"/>
      </w:rPr>
      <w:drawing>
        <wp:anchor distT="0" distB="0" distL="114300" distR="114300" simplePos="0" relativeHeight="251659264" behindDoc="1" locked="0" layoutInCell="0" allowOverlap="1" wp14:anchorId="62BC74C7" wp14:editId="72D8D47A">
          <wp:simplePos x="0" y="0"/>
          <wp:positionH relativeFrom="page">
            <wp:posOffset>0</wp:posOffset>
          </wp:positionH>
          <wp:positionV relativeFrom="page">
            <wp:posOffset>0</wp:posOffset>
          </wp:positionV>
          <wp:extent cx="7560000" cy="720000"/>
          <wp:effectExtent l="0" t="0" r="317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rpGov_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30B"/>
    <w:rsid w:val="001A6251"/>
    <w:rsid w:val="00531B99"/>
    <w:rsid w:val="005C030B"/>
    <w:rsid w:val="00D065DF"/>
    <w:rsid w:val="00E272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E93DA83-6DF5-41C1-AE7C-1560EECF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lober Regular" w:eastAsiaTheme="minorHAnsi" w:hAnsi="Glober Regular"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8"/>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30B"/>
    <w:pPr>
      <w:spacing w:after="280" w:line="310" w:lineRule="atLeast"/>
    </w:pPr>
    <w:rPr>
      <w:rFonts w:asciiTheme="minorHAnsi" w:hAnsiTheme="minorHAnsi" w:cs="Times New Roman"/>
      <w:spacing w:val="-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8"/>
    <w:rsid w:val="005C030B"/>
    <w:pPr>
      <w:spacing w:after="0" w:line="240" w:lineRule="auto"/>
    </w:pPr>
    <w:rPr>
      <w:rFonts w:ascii="Times New Roman" w:hAnsi="Times New Roman" w:cs="Times New Roman"/>
      <w:sz w:val="20"/>
      <w:szCs w:val="20"/>
    </w:rPr>
    <w:tblPr>
      <w:tblCellMar>
        <w:left w:w="0" w:type="dxa"/>
        <w:right w:w="0" w:type="dxa"/>
      </w:tblCellMar>
    </w:tblPr>
    <w:tblStylePr w:type="firstRow">
      <w:rPr>
        <w:rFonts w:asciiTheme="majorHAnsi" w:hAnsiTheme="majorHAnsi"/>
      </w:rPr>
    </w:tblStylePr>
  </w:style>
  <w:style w:type="paragraph" w:styleId="Footer">
    <w:name w:val="footer"/>
    <w:basedOn w:val="Normal"/>
    <w:link w:val="FooterChar"/>
    <w:rsid w:val="005C030B"/>
    <w:pPr>
      <w:spacing w:after="0" w:line="240" w:lineRule="auto"/>
    </w:pPr>
    <w:rPr>
      <w:color w:val="5B9BD5" w:themeColor="accent1"/>
      <w:sz w:val="16"/>
    </w:rPr>
  </w:style>
  <w:style w:type="character" w:customStyle="1" w:styleId="FooterChar">
    <w:name w:val="Footer Char"/>
    <w:basedOn w:val="DefaultParagraphFont"/>
    <w:link w:val="Footer"/>
    <w:rsid w:val="005C030B"/>
    <w:rPr>
      <w:rFonts w:asciiTheme="minorHAnsi" w:hAnsiTheme="minorHAnsi" w:cs="Times New Roman"/>
      <w:color w:val="5B9BD5" w:themeColor="accent1"/>
      <w:spacing w:val="-1"/>
      <w:sz w:val="16"/>
      <w:szCs w:val="20"/>
    </w:rPr>
  </w:style>
  <w:style w:type="paragraph" w:styleId="Header">
    <w:name w:val="header"/>
    <w:basedOn w:val="Normal"/>
    <w:link w:val="HeaderChar"/>
    <w:uiPriority w:val="99"/>
    <w:rsid w:val="005C030B"/>
    <w:pPr>
      <w:spacing w:after="0" w:line="200" w:lineRule="atLeast"/>
    </w:pPr>
    <w:rPr>
      <w:w w:val="97"/>
      <w:sz w:val="17"/>
    </w:rPr>
  </w:style>
  <w:style w:type="character" w:customStyle="1" w:styleId="HeaderChar">
    <w:name w:val="Header Char"/>
    <w:basedOn w:val="DefaultParagraphFont"/>
    <w:link w:val="Header"/>
    <w:uiPriority w:val="99"/>
    <w:rsid w:val="005C030B"/>
    <w:rPr>
      <w:rFonts w:asciiTheme="minorHAnsi" w:hAnsiTheme="minorHAnsi" w:cs="Times New Roman"/>
      <w:spacing w:val="-1"/>
      <w:w w:val="97"/>
      <w:sz w:val="17"/>
      <w:szCs w:val="20"/>
    </w:rPr>
  </w:style>
  <w:style w:type="table" w:customStyle="1" w:styleId="TableASX">
    <w:name w:val="Table_ASX"/>
    <w:basedOn w:val="TableNormal"/>
    <w:uiPriority w:val="99"/>
    <w:rsid w:val="005C030B"/>
    <w:pPr>
      <w:spacing w:after="0" w:line="240" w:lineRule="auto"/>
    </w:pPr>
    <w:rPr>
      <w:rFonts w:ascii="Arial Narrow" w:hAnsi="Arial Narrow" w:cs="Times New Roman"/>
      <w:sz w:val="20"/>
      <w:szCs w:val="20"/>
    </w:rPr>
    <w:tblPr>
      <w:tblInd w:w="108"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tblBorders>
    </w:tblPr>
    <w:tcPr>
      <w:vAlign w:val="center"/>
    </w:tcPr>
    <w:tblStylePr w:type="firstRow">
      <w:rPr>
        <w:b/>
        <w:color w:val="FFFFFF" w:themeColor="background1"/>
      </w:rPr>
      <w:tblPr/>
      <w:tcPr>
        <w:shd w:val="clear" w:color="auto" w:fill="ED7D31" w:themeFill="accent2"/>
      </w:tcPr>
    </w:tblStylePr>
  </w:style>
  <w:style w:type="paragraph" w:customStyle="1" w:styleId="TableText">
    <w:name w:val="Table Text"/>
    <w:basedOn w:val="Normal"/>
    <w:qFormat/>
    <w:rsid w:val="005C030B"/>
    <w:pPr>
      <w:spacing w:before="80" w:after="80" w:line="240" w:lineRule="auto"/>
    </w:pPr>
  </w:style>
  <w:style w:type="paragraph" w:customStyle="1" w:styleId="TableHeading">
    <w:name w:val="Table Heading"/>
    <w:basedOn w:val="TableText"/>
    <w:next w:val="TableText"/>
    <w:qFormat/>
    <w:rsid w:val="005C030B"/>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Australian Securities Exchange</Company>
  <LinksUpToDate>false</LinksUpToDate>
  <CharactersWithSpaces>4482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Lewis</dc:creator>
  <cp:keywords/>
  <dc:description/>
  <cp:lastModifiedBy>Kevin Lewis</cp:lastModifiedBy>
  <cp:revision>1</cp:revision>
  <dcterms:created xsi:type="dcterms:W3CDTF">2016-05-10T23:55:00Z</dcterms:created>
  <dcterms:modified xsi:type="dcterms:W3CDTF">2016-05-10T23:58:00Z</dcterms:modified>
</cp:coreProperties>
</file>