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24" w:rsidRPr="006F0F69" w:rsidRDefault="00902124" w:rsidP="00902124">
      <w:pPr>
        <w:jc w:val="right"/>
        <w:rPr>
          <w:i/>
        </w:rPr>
      </w:pPr>
      <w:bookmarkStart w:id="0" w:name="_GoBack"/>
      <w:bookmarkEnd w:id="0"/>
      <w:r w:rsidRPr="0089621A">
        <w:rPr>
          <w:i/>
        </w:rPr>
        <w:t>+</w:t>
      </w:r>
      <w:r w:rsidRPr="006F0F69">
        <w:rPr>
          <w:i/>
        </w:rPr>
        <w:t xml:space="preserve">Rule </w:t>
      </w:r>
      <w:r>
        <w:rPr>
          <w:i/>
        </w:rPr>
        <w:t>4.7B</w:t>
      </w:r>
    </w:p>
    <w:p w:rsidR="004B6C11" w:rsidRDefault="00BF230A" w:rsidP="001C3A2B">
      <w:pPr>
        <w:pStyle w:val="TopHeading"/>
        <w:spacing w:before="240"/>
      </w:pPr>
      <w:r>
        <w:t xml:space="preserve">Appendix </w:t>
      </w:r>
      <w:r w:rsidR="00473C51">
        <w:t>4C</w:t>
      </w:r>
    </w:p>
    <w:p w:rsidR="004B6C11" w:rsidRDefault="00473C51" w:rsidP="00DD2AD7">
      <w:pPr>
        <w:pStyle w:val="TopHeading"/>
      </w:pPr>
      <w:r w:rsidRPr="00473C51">
        <w:t>Quarterly report for entities subject to Listing Rule 4.7B</w:t>
      </w:r>
    </w:p>
    <w:p w:rsidR="00473C51" w:rsidRDefault="000D1699" w:rsidP="000D1699">
      <w:pPr>
        <w:pStyle w:val="Introduced0"/>
      </w:pPr>
      <w:r w:rsidRPr="000D1699">
        <w:t>Introduced 31/03/00  Amended 30/09/01, 24/10/05, 17/12/10</w:t>
      </w:r>
      <w:r>
        <w:t xml:space="preserve">, </w:t>
      </w:r>
      <w:r w:rsidR="00B815A8">
        <w:t>01</w:t>
      </w:r>
      <w:r>
        <w:t>/09/16</w:t>
      </w:r>
    </w:p>
    <w:p w:rsidR="000D1699" w:rsidRDefault="000D1699" w:rsidP="00473C51"/>
    <w:tbl>
      <w:tblPr>
        <w:tblW w:w="9072" w:type="dxa"/>
        <w:tblLayout w:type="fixed"/>
        <w:tblLook w:val="04A0" w:firstRow="1" w:lastRow="0" w:firstColumn="1" w:lastColumn="0" w:noHBand="0" w:noVBand="1"/>
      </w:tblPr>
      <w:tblGrid>
        <w:gridCol w:w="4293"/>
        <w:gridCol w:w="487"/>
        <w:gridCol w:w="4292"/>
      </w:tblGrid>
      <w:tr w:rsidR="00473C51" w:rsidRPr="00473C51" w:rsidTr="00267B13">
        <w:tc>
          <w:tcPr>
            <w:tcW w:w="9072" w:type="dxa"/>
            <w:gridSpan w:val="3"/>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before="60" w:after="60"/>
              <w:textAlignment w:val="baseline"/>
              <w:outlineLvl w:val="1"/>
              <w:rPr>
                <w:rFonts w:cs="Arial"/>
                <w:b/>
                <w:bCs/>
                <w:szCs w:val="20"/>
                <w:lang w:val="en-GB"/>
              </w:rPr>
            </w:pPr>
            <w:r w:rsidRPr="00473C51">
              <w:rPr>
                <w:rFonts w:cs="Arial"/>
                <w:b/>
                <w:bCs/>
                <w:szCs w:val="20"/>
                <w:lang w:val="en-GB"/>
              </w:rPr>
              <w:t>Name of entity</w:t>
            </w:r>
          </w:p>
        </w:tc>
      </w:tr>
      <w:tr w:rsidR="00473C51" w:rsidRPr="00473C51" w:rsidTr="00267B13">
        <w:tc>
          <w:tcPr>
            <w:tcW w:w="9072" w:type="dxa"/>
            <w:gridSpan w:val="3"/>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r>
      <w:tr w:rsidR="00473C51" w:rsidRPr="00473C51" w:rsidTr="00267B13">
        <w:tc>
          <w:tcPr>
            <w:tcW w:w="4293" w:type="dxa"/>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ABN</w:t>
            </w:r>
          </w:p>
        </w:tc>
        <w:tc>
          <w:tcPr>
            <w:tcW w:w="487" w:type="dxa"/>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p>
        </w:tc>
        <w:tc>
          <w:tcPr>
            <w:tcW w:w="4292" w:type="dxa"/>
            <w:tcBorders>
              <w:bottom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Quarter ended (“current quarter”)</w:t>
            </w:r>
          </w:p>
        </w:tc>
      </w:tr>
      <w:tr w:rsidR="00473C51" w:rsidRPr="00473C51" w:rsidTr="00267B13">
        <w:tc>
          <w:tcPr>
            <w:tcW w:w="4293" w:type="dxa"/>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c>
          <w:tcPr>
            <w:tcW w:w="487" w:type="dxa"/>
            <w:tcBorders>
              <w:left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c>
          <w:tcPr>
            <w:tcW w:w="4292" w:type="dxa"/>
            <w:tcBorders>
              <w:top w:val="dotted" w:sz="4" w:space="0" w:color="auto"/>
              <w:left w:val="dotted" w:sz="4" w:space="0" w:color="auto"/>
              <w:bottom w:val="dotted" w:sz="4" w:space="0" w:color="auto"/>
              <w:right w:val="dotted" w:sz="4" w:space="0" w:color="auto"/>
            </w:tcBorders>
            <w:shd w:val="clear" w:color="auto" w:fill="auto"/>
          </w:tcPr>
          <w:p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r>
    </w:tbl>
    <w:p w:rsidR="00473C51" w:rsidRDefault="00473C51" w:rsidP="00473C51"/>
    <w:tbl>
      <w:tblPr>
        <w:tblW w:w="9072" w:type="dxa"/>
        <w:tblLayout w:type="fixed"/>
        <w:tblCellMar>
          <w:left w:w="107" w:type="dxa"/>
          <w:right w:w="107" w:type="dxa"/>
        </w:tblCellMar>
        <w:tblLook w:val="0000" w:firstRow="0" w:lastRow="0" w:firstColumn="0" w:lastColumn="0" w:noHBand="0" w:noVBand="0"/>
      </w:tblPr>
      <w:tblGrid>
        <w:gridCol w:w="599"/>
        <w:gridCol w:w="110"/>
        <w:gridCol w:w="4086"/>
        <w:gridCol w:w="2098"/>
        <w:gridCol w:w="2179"/>
      </w:tblGrid>
      <w:tr w:rsidR="00DF56C0" w:rsidRPr="00DF56C0" w:rsidTr="00267B13">
        <w:trPr>
          <w:cantSplit/>
          <w:tblHeader/>
        </w:trPr>
        <w:tc>
          <w:tcPr>
            <w:tcW w:w="4795"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outlineLvl w:val="1"/>
              <w:rPr>
                <w:rFonts w:cs="Arial"/>
                <w:b/>
                <w:szCs w:val="20"/>
                <w:lang w:val="en-GB"/>
              </w:rPr>
            </w:pPr>
            <w:r w:rsidRPr="00DF56C0">
              <w:rPr>
                <w:rFonts w:cs="Arial"/>
                <w:b/>
                <w:sz w:val="24"/>
                <w:szCs w:val="20"/>
                <w:lang w:val="en-GB"/>
              </w:rPr>
              <w:t>Consolidated statement of cash flows</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 $A’000</w:t>
            </w: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center"/>
              <w:textAlignment w:val="baseline"/>
              <w:rPr>
                <w:rFonts w:cs="Arial"/>
                <w:b/>
                <w:bCs/>
                <w:szCs w:val="20"/>
                <w:lang w:val="en-GB"/>
              </w:rPr>
            </w:pPr>
            <w:r w:rsidRPr="00DF56C0">
              <w:rPr>
                <w:rFonts w:cs="Arial"/>
                <w:b/>
                <w:bCs/>
                <w:szCs w:val="20"/>
                <w:lang w:val="fr-FR"/>
              </w:rPr>
              <w:t>Year to date (.......months)</w:t>
            </w:r>
            <w:r w:rsidRPr="00DF56C0">
              <w:rPr>
                <w:rFonts w:cs="Arial"/>
                <w:b/>
                <w:bCs/>
                <w:szCs w:val="20"/>
                <w:lang w:val="fr-FR"/>
              </w:rPr>
              <w:br/>
              <w:t>$A’000</w:t>
            </w:r>
          </w:p>
        </w:tc>
      </w:tr>
      <w:tr w:rsidR="00DF56C0" w:rsidRPr="00DF56C0" w:rsidTr="00267B13">
        <w:trPr>
          <w:cantSplit/>
        </w:trPr>
        <w:tc>
          <w:tcPr>
            <w:tcW w:w="599" w:type="dxa"/>
            <w:tcBorders>
              <w:top w:val="dotted" w:sz="4" w:space="0" w:color="auto"/>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1.</w:t>
            </w:r>
          </w:p>
        </w:tc>
        <w:tc>
          <w:tcPr>
            <w:tcW w:w="4196" w:type="dxa"/>
            <w:gridSpan w:val="2"/>
            <w:tcBorders>
              <w:top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Cash flows from operating activities</w:t>
            </w:r>
          </w:p>
        </w:tc>
        <w:tc>
          <w:tcPr>
            <w:tcW w:w="2098" w:type="dxa"/>
            <w:vMerge w:val="restart"/>
            <w:tcBorders>
              <w:top w:val="dotted" w:sz="4" w:space="0" w:color="auto"/>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val="restart"/>
            <w:tcBorders>
              <w:top w:val="dotted" w:sz="4" w:space="0" w:color="auto"/>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1.1</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Receipts from customers</w:t>
            </w:r>
          </w:p>
        </w:tc>
        <w:tc>
          <w:tcPr>
            <w:tcW w:w="2098"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1.2</w:t>
            </w:r>
          </w:p>
        </w:tc>
        <w:tc>
          <w:tcPr>
            <w:tcW w:w="4196" w:type="dxa"/>
            <w:gridSpan w:val="2"/>
            <w:tcBorders>
              <w:right w:val="dotted" w:sz="4" w:space="0" w:color="auto"/>
            </w:tcBorders>
          </w:tcPr>
          <w:p w:rsidR="00DF56C0" w:rsidRPr="00DF56C0" w:rsidRDefault="0003732C" w:rsidP="00DF56C0">
            <w:pPr>
              <w:tabs>
                <w:tab w:val="clear" w:pos="851"/>
              </w:tabs>
              <w:overflowPunct w:val="0"/>
              <w:autoSpaceDE w:val="0"/>
              <w:autoSpaceDN w:val="0"/>
              <w:adjustRightInd w:val="0"/>
              <w:spacing w:before="60" w:after="60"/>
              <w:textAlignment w:val="baseline"/>
              <w:rPr>
                <w:rFonts w:cs="Arial"/>
                <w:szCs w:val="20"/>
                <w:lang w:val="en-GB"/>
              </w:rPr>
            </w:pPr>
            <w:r>
              <w:rPr>
                <w:rFonts w:cs="Arial"/>
                <w:szCs w:val="20"/>
                <w:lang w:val="en-GB"/>
              </w:rPr>
              <w:t>Payments for</w:t>
            </w:r>
          </w:p>
        </w:tc>
        <w:tc>
          <w:tcPr>
            <w:tcW w:w="2098" w:type="dxa"/>
            <w:vMerge w:val="restart"/>
            <w:tcBorders>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val="restart"/>
            <w:tcBorders>
              <w:left w:val="dotted" w:sz="4" w:space="0" w:color="auto"/>
              <w:right w:val="dotted" w:sz="4" w:space="0" w:color="auto"/>
            </w:tcBorders>
            <w:vAlign w:val="bottom"/>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Pr="00DF56C0">
              <w:rPr>
                <w:rFonts w:cs="Arial"/>
                <w:szCs w:val="20"/>
                <w:lang w:val="en-GB"/>
              </w:rPr>
              <w:t>research and development</w:t>
            </w:r>
          </w:p>
        </w:tc>
        <w:tc>
          <w:tcPr>
            <w:tcW w:w="2098"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Pr="00DF56C0">
              <w:rPr>
                <w:rFonts w:cs="Arial"/>
                <w:szCs w:val="20"/>
                <w:lang w:val="en-GB"/>
              </w:rPr>
              <w:t>product manufacturing and operating costs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Pr="00DF56C0">
              <w:rPr>
                <w:rFonts w:cs="Arial"/>
                <w:szCs w:val="20"/>
                <w:lang w:val="en-GB"/>
              </w:rPr>
              <w:t>advertising and marketing</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Pr="00DF56C0">
              <w:rPr>
                <w:rFonts w:cs="Arial"/>
                <w:szCs w:val="20"/>
                <w:lang w:val="en-GB"/>
              </w:rPr>
              <w:t>leased assets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Pr="00DF56C0">
              <w:rPr>
                <w:rFonts w:cs="Arial"/>
                <w:szCs w:val="20"/>
                <w:lang w:val="en-GB"/>
              </w:rPr>
              <w:t>staff costs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(f)</w:t>
            </w:r>
            <w:r>
              <w:rPr>
                <w:rFonts w:cs="Arial"/>
                <w:szCs w:val="20"/>
                <w:lang w:val="en-GB"/>
              </w:rPr>
              <w:tab/>
            </w:r>
            <w:r w:rsidRPr="00DF56C0">
              <w:rPr>
                <w:rFonts w:cs="Arial"/>
                <w:szCs w:val="20"/>
                <w:lang w:val="en-GB"/>
              </w:rPr>
              <w:t>administration and corporate costs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1.3</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w:t>
            </w:r>
            <w:r w:rsidRPr="00DF56C0">
              <w:rPr>
                <w:rFonts w:cs="Arial"/>
                <w:szCs w:val="20"/>
                <w:vertAlign w:val="superscript"/>
                <w:lang w:val="en-GB"/>
              </w:rPr>
              <w:t xml:space="preserve"> </w:t>
            </w:r>
            <w:r w:rsidRPr="00DF56C0">
              <w:rPr>
                <w:rFonts w:cs="Arial"/>
                <w:szCs w:val="20"/>
                <w:lang w:val="en-GB"/>
              </w:rPr>
              <w:t>(see note 3)</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1.4</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received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1.5</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and other costs of finance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1.6</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Income taxes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1.7</w:t>
            </w:r>
          </w:p>
        </w:tc>
        <w:tc>
          <w:tcPr>
            <w:tcW w:w="4196" w:type="dxa"/>
            <w:gridSpan w:val="2"/>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Government grants and tax incentives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1.8</w:t>
            </w:r>
          </w:p>
        </w:tc>
        <w:tc>
          <w:tcPr>
            <w:tcW w:w="4196" w:type="dxa"/>
            <w:gridSpan w:val="2"/>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599" w:type="dxa"/>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1.9</w:t>
            </w:r>
          </w:p>
        </w:tc>
        <w:tc>
          <w:tcPr>
            <w:tcW w:w="4196" w:type="dxa"/>
            <w:gridSpan w:val="2"/>
            <w:tcBorders>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operating activities</w:t>
            </w:r>
          </w:p>
        </w:tc>
        <w:tc>
          <w:tcPr>
            <w:tcW w:w="2098"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r>
      <w:tr w:rsidR="00DF56C0" w:rsidRPr="00DF56C0" w:rsidTr="00267B13">
        <w:trPr>
          <w:cantSplit/>
        </w:trPr>
        <w:tc>
          <w:tcPr>
            <w:tcW w:w="9072" w:type="dxa"/>
            <w:gridSpan w:val="5"/>
            <w:tcBorders>
              <w:top w:val="dotted" w:sz="4" w:space="0" w:color="auto"/>
              <w:bottom w:val="dotted" w:sz="4" w:space="0" w:color="auto"/>
            </w:tcBorders>
          </w:tcPr>
          <w:p w:rsidR="00DF56C0" w:rsidRPr="00DF56C0" w:rsidRDefault="00DF56C0" w:rsidP="000D1699">
            <w:pPr>
              <w:rPr>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Cash flows from investing activities</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2.1</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Payments to acquire:</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DF56C0" w:rsidRPr="00DF56C0">
              <w:rPr>
                <w:rFonts w:cs="Arial"/>
                <w:szCs w:val="20"/>
                <w:lang w:val="en-GB"/>
              </w:rPr>
              <w:t>businesses (see item 10)</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0D1699">
            <w:pPr>
              <w:keepNext/>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0D1699">
            <w:pPr>
              <w:keepNext/>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00DF56C0" w:rsidRPr="00DF56C0">
              <w:rPr>
                <w:rFonts w:cs="Arial"/>
                <w:szCs w:val="20"/>
                <w:lang w:val="en-GB"/>
              </w:rPr>
              <w:t>intellectual property</w:t>
            </w:r>
          </w:p>
        </w:tc>
        <w:tc>
          <w:tcPr>
            <w:tcW w:w="2098" w:type="dxa"/>
            <w:tcBorders>
              <w:left w:val="dotted" w:sz="4" w:space="0" w:color="auto"/>
              <w:right w:val="dotted" w:sz="4" w:space="0" w:color="auto"/>
            </w:tcBorders>
          </w:tcPr>
          <w:p w:rsidR="00DF56C0" w:rsidRPr="00DF56C0" w:rsidRDefault="00DF56C0" w:rsidP="000D1699">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0D1699">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disposal of:</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03732C">
              <w:rPr>
                <w:rFonts w:cs="Arial"/>
                <w:szCs w:val="20"/>
                <w:lang w:val="en-GB"/>
              </w:rPr>
              <w:t>businesses (see item 10)</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00DF56C0" w:rsidRPr="00DF56C0">
              <w:rPr>
                <w:rFonts w:cs="Arial"/>
                <w:szCs w:val="20"/>
                <w:lang w:val="en-GB"/>
              </w:rPr>
              <w:t>intellectual property</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2.3</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Cash flows from loans to other entities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2.4</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 (see note 3)</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2.5</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gridSpan w:val="2"/>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2.6</w:t>
            </w:r>
          </w:p>
        </w:tc>
        <w:tc>
          <w:tcPr>
            <w:tcW w:w="4086" w:type="dxa"/>
            <w:tcBorders>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investing activities</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en-GB"/>
              </w:rPr>
            </w:pPr>
          </w:p>
        </w:tc>
      </w:tr>
      <w:tr w:rsidR="00DF56C0" w:rsidRPr="00DF56C0" w:rsidTr="00267B13">
        <w:trPr>
          <w:cantSplit/>
        </w:trPr>
        <w:tc>
          <w:tcPr>
            <w:tcW w:w="9072" w:type="dxa"/>
            <w:gridSpan w:val="5"/>
            <w:tcBorders>
              <w:top w:val="dotted" w:sz="4" w:space="0" w:color="auto"/>
              <w:bottom w:val="dotted" w:sz="4" w:space="0" w:color="auto"/>
            </w:tcBorders>
          </w:tcPr>
          <w:p w:rsidR="00DF56C0" w:rsidRPr="00DF56C0" w:rsidRDefault="00DF56C0" w:rsidP="000D1699">
            <w:pPr>
              <w:rPr>
                <w:lang w:val="en-GB"/>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br w:type="page"/>
            </w:r>
            <w:r w:rsidRPr="00DF56C0">
              <w:rPr>
                <w:rFonts w:cs="Arial"/>
                <w:b/>
                <w:sz w:val="22"/>
                <w:szCs w:val="20"/>
                <w:lang w:val="en-GB"/>
              </w:rPr>
              <w:br w:type="page"/>
            </w:r>
            <w:r w:rsidRPr="00DF56C0">
              <w:rPr>
                <w:rFonts w:cs="Arial"/>
                <w:b/>
                <w:sz w:val="22"/>
                <w:szCs w:val="20"/>
                <w:lang w:val="en-GB"/>
              </w:rPr>
              <w:br w:type="page"/>
              <w:t>3.</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rPr>
            </w:pPr>
            <w:r w:rsidRPr="00DF56C0">
              <w:rPr>
                <w:rFonts w:cs="Arial"/>
                <w:b/>
                <w:sz w:val="22"/>
                <w:szCs w:val="20"/>
                <w:lang w:val="en-GB"/>
              </w:rPr>
              <w:t>Cash flows from financing activities</w:t>
            </w:r>
          </w:p>
        </w:tc>
        <w:tc>
          <w:tcPr>
            <w:tcW w:w="2098"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3.1</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DF56C0">
              <w:rPr>
                <w:rFonts w:cs="Arial"/>
                <w:szCs w:val="20"/>
                <w:lang w:val="en-GB"/>
              </w:rPr>
              <w:t>Proceeds from issues of shares</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Del="00AF304A"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3.2</w:t>
            </w:r>
          </w:p>
        </w:tc>
        <w:tc>
          <w:tcPr>
            <w:tcW w:w="4086" w:type="dxa"/>
            <w:tcBorders>
              <w:right w:val="dotted" w:sz="4" w:space="0" w:color="auto"/>
            </w:tcBorders>
          </w:tcPr>
          <w:p w:rsidR="00DF56C0" w:rsidRPr="00DF56C0" w:rsidDel="0045215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issue of convertible notes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3.3</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exercise of share options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3.4</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issues of shares, convertible notes or options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3.5</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3.6</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Repayment of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3.7</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loans and borrowings</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3.8</w:t>
            </w:r>
          </w:p>
        </w:tc>
        <w:tc>
          <w:tcPr>
            <w:tcW w:w="4086" w:type="dxa"/>
            <w:tcBorders>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paid</w:t>
            </w:r>
          </w:p>
        </w:tc>
        <w:tc>
          <w:tcPr>
            <w:tcW w:w="2098"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3.9</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267B13">
        <w:trPr>
          <w:cantSplit/>
        </w:trPr>
        <w:tc>
          <w:tcPr>
            <w:tcW w:w="709" w:type="dxa"/>
            <w:gridSpan w:val="2"/>
            <w:tcBorders>
              <w:left w:val="dotted" w:sz="4" w:space="0" w:color="auto"/>
              <w:bottom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3.10</w:t>
            </w:r>
          </w:p>
        </w:tc>
        <w:tc>
          <w:tcPr>
            <w:tcW w:w="4086" w:type="dxa"/>
            <w:tcBorders>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financing activities</w:t>
            </w:r>
          </w:p>
        </w:tc>
        <w:tc>
          <w:tcPr>
            <w:tcW w:w="2098" w:type="dxa"/>
            <w:tcBorders>
              <w:top w:val="dotted" w:sz="4" w:space="0" w:color="auto"/>
              <w:left w:val="dotted" w:sz="4" w:space="0" w:color="auto"/>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fr-FR"/>
              </w:rPr>
            </w:pPr>
          </w:p>
        </w:tc>
        <w:tc>
          <w:tcPr>
            <w:tcW w:w="2179" w:type="dxa"/>
            <w:tcBorders>
              <w:top w:val="dotted" w:sz="4" w:space="0" w:color="auto"/>
              <w:left w:val="dotted" w:sz="4" w:space="0" w:color="auto"/>
              <w:bottom w:val="dotted" w:sz="4" w:space="0" w:color="auto"/>
              <w:right w:val="dotted" w:sz="4" w:space="0" w:color="auto"/>
            </w:tcBorders>
            <w:shd w:val="clear" w:color="auto" w:fill="auto"/>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szCs w:val="20"/>
                <w:lang w:val="fr-FR"/>
              </w:rPr>
            </w:pPr>
          </w:p>
        </w:tc>
      </w:tr>
      <w:tr w:rsidR="00DF56C0" w:rsidRPr="00DF56C0" w:rsidTr="00267B13">
        <w:trPr>
          <w:cantSplit/>
        </w:trPr>
        <w:tc>
          <w:tcPr>
            <w:tcW w:w="9072" w:type="dxa"/>
            <w:gridSpan w:val="5"/>
            <w:tcBorders>
              <w:top w:val="dotted" w:sz="4" w:space="0" w:color="auto"/>
              <w:bottom w:val="dotted" w:sz="4" w:space="0" w:color="auto"/>
            </w:tcBorders>
            <w:shd w:val="clear" w:color="auto" w:fill="auto"/>
          </w:tcPr>
          <w:p w:rsidR="00DF56C0" w:rsidRPr="00DF56C0" w:rsidRDefault="00DF56C0" w:rsidP="000D1699">
            <w:pPr>
              <w:rPr>
                <w:lang w:val="en-GB"/>
              </w:rPr>
            </w:pPr>
          </w:p>
        </w:tc>
      </w:tr>
      <w:tr w:rsidR="00DF56C0" w:rsidRPr="00DF56C0" w:rsidTr="003A7CB5">
        <w:trPr>
          <w:cantSplit/>
        </w:trPr>
        <w:tc>
          <w:tcPr>
            <w:tcW w:w="709" w:type="dxa"/>
            <w:gridSpan w:val="2"/>
            <w:tcBorders>
              <w:top w:val="dotted" w:sz="4" w:space="0" w:color="auto"/>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4.</w:t>
            </w:r>
          </w:p>
        </w:tc>
        <w:tc>
          <w:tcPr>
            <w:tcW w:w="4086" w:type="dxa"/>
            <w:tcBorders>
              <w:top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Net increase / (decrease) in cash and cash equivalents for the period</w:t>
            </w:r>
          </w:p>
        </w:tc>
        <w:tc>
          <w:tcPr>
            <w:tcW w:w="2098" w:type="dxa"/>
            <w:vMerge w:val="restart"/>
            <w:tcBorders>
              <w:top w:val="dotted" w:sz="4" w:space="0" w:color="auto"/>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val="restart"/>
            <w:tcBorders>
              <w:top w:val="dotted" w:sz="4" w:space="0" w:color="auto"/>
              <w:left w:val="dotted" w:sz="4" w:space="0" w:color="auto"/>
              <w:right w:val="dotted" w:sz="4" w:space="0" w:color="auto"/>
            </w:tcBorders>
            <w:vAlign w:val="bottom"/>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4.1</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Cash and cash equivalents at beginning of quarter/year to date</w:t>
            </w:r>
          </w:p>
        </w:tc>
        <w:tc>
          <w:tcPr>
            <w:tcW w:w="2098"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4.2</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operating activities (item 1.9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4.3</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investing activities (item 2.6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4.4</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financing activities (item 3.10 above)</w:t>
            </w:r>
          </w:p>
        </w:tc>
        <w:tc>
          <w:tcPr>
            <w:tcW w:w="209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lastRenderedPageBreak/>
              <w:t>4.5</w:t>
            </w:r>
          </w:p>
        </w:tc>
        <w:tc>
          <w:tcPr>
            <w:tcW w:w="4086"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Effect of movement in exchange rates on cash held</w:t>
            </w:r>
          </w:p>
        </w:tc>
        <w:tc>
          <w:tcPr>
            <w:tcW w:w="209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rsidTr="003A7CB5">
        <w:trPr>
          <w:cantSplit/>
        </w:trPr>
        <w:tc>
          <w:tcPr>
            <w:tcW w:w="709" w:type="dxa"/>
            <w:gridSpan w:val="2"/>
            <w:tcBorders>
              <w:left w:val="dotted" w:sz="4" w:space="0" w:color="auto"/>
              <w:bottom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4.6</w:t>
            </w:r>
          </w:p>
        </w:tc>
        <w:tc>
          <w:tcPr>
            <w:tcW w:w="4086" w:type="dxa"/>
            <w:tcBorders>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Cash and cash equivalents at end of quarter</w:t>
            </w:r>
          </w:p>
        </w:tc>
        <w:tc>
          <w:tcPr>
            <w:tcW w:w="209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p>
        </w:tc>
        <w:tc>
          <w:tcPr>
            <w:tcW w:w="2179"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p>
        </w:tc>
      </w:tr>
    </w:tbl>
    <w:p w:rsidR="00DF56C0" w:rsidRPr="00DF56C0" w:rsidRDefault="00DF56C0" w:rsidP="000D1699">
      <w:pPr>
        <w:rPr>
          <w:lang w:val="en-GB" w:eastAsia="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DF56C0" w:rsidRPr="00DF56C0" w:rsidTr="00267B13">
        <w:trPr>
          <w:cantSplit/>
        </w:trPr>
        <w:tc>
          <w:tcPr>
            <w:tcW w:w="709" w:type="dxa"/>
            <w:tcBorders>
              <w:top w:val="dotted" w:sz="4" w:space="0" w:color="auto"/>
              <w:left w:val="dotted" w:sz="4" w:space="0" w:color="auto"/>
              <w:bottom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Cs w:val="22"/>
                <w:lang w:val="en-GB"/>
              </w:rPr>
            </w:pPr>
            <w:r w:rsidRPr="00DF56C0">
              <w:rPr>
                <w:rFonts w:cs="Arial"/>
                <w:b/>
                <w:bCs/>
                <w:sz w:val="22"/>
                <w:szCs w:val="22"/>
                <w:lang w:val="en-GB"/>
              </w:rPr>
              <w:t>5.</w:t>
            </w:r>
          </w:p>
        </w:tc>
        <w:tc>
          <w:tcPr>
            <w:tcW w:w="4111" w:type="dxa"/>
            <w:tcBorders>
              <w:top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2"/>
                <w:lang w:val="en-GB"/>
              </w:rPr>
            </w:pPr>
            <w:r w:rsidRPr="00DF56C0">
              <w:rPr>
                <w:rFonts w:cs="Arial"/>
                <w:b/>
                <w:sz w:val="22"/>
                <w:szCs w:val="22"/>
                <w:lang w:val="en-GB"/>
              </w:rPr>
              <w:t>Reconciliation of cash and cash equivalents</w:t>
            </w:r>
            <w:r w:rsidRPr="00DF56C0">
              <w:rPr>
                <w:rFonts w:cs="Arial"/>
                <w:b/>
                <w:szCs w:val="22"/>
                <w:lang w:val="en-GB"/>
              </w:rPr>
              <w:br/>
            </w:r>
            <w:r w:rsidRPr="00DF56C0">
              <w:rPr>
                <w:rFonts w:cs="Arial"/>
                <w:szCs w:val="22"/>
                <w:lang w:val="en-GB"/>
              </w:rPr>
              <w:t>at the end of the quarter (as shown in the consolidated statement of cash flows) to the related items in the accounts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r w:rsidRPr="00DF56C0">
              <w:rPr>
                <w:rFonts w:cs="Arial"/>
                <w:b/>
                <w:bCs/>
                <w:szCs w:val="22"/>
                <w:lang w:val="fr-FR"/>
              </w:rPr>
              <w:t>Current quarter</w:t>
            </w:r>
            <w:r w:rsidRPr="00DF56C0">
              <w:rPr>
                <w:rFonts w:cs="Arial"/>
                <w:b/>
                <w:bCs/>
                <w:szCs w:val="22"/>
                <w:lang w:val="fr-FR"/>
              </w:rPr>
              <w:br/>
              <w:t>$A’000</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r w:rsidRPr="00DF56C0">
              <w:rPr>
                <w:rFonts w:cs="Arial"/>
                <w:b/>
                <w:bCs/>
                <w:szCs w:val="22"/>
                <w:lang w:val="fr-FR"/>
              </w:rPr>
              <w:t>Previous quarter</w:t>
            </w:r>
            <w:r w:rsidRPr="00DF56C0">
              <w:rPr>
                <w:rFonts w:cs="Arial"/>
                <w:b/>
                <w:bCs/>
                <w:szCs w:val="22"/>
                <w:lang w:val="fr-FR"/>
              </w:rPr>
              <w:br/>
              <w:t>$A’000</w:t>
            </w:r>
          </w:p>
        </w:tc>
      </w:tr>
      <w:tr w:rsidR="00DF56C0" w:rsidRPr="00DF56C0" w:rsidTr="00267B13">
        <w:trPr>
          <w:cantSplit/>
        </w:trPr>
        <w:tc>
          <w:tcPr>
            <w:tcW w:w="709" w:type="dxa"/>
            <w:tcBorders>
              <w:top w:val="dotted" w:sz="4" w:space="0" w:color="auto"/>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5.1</w:t>
            </w:r>
          </w:p>
        </w:tc>
        <w:tc>
          <w:tcPr>
            <w:tcW w:w="4111" w:type="dxa"/>
            <w:tcBorders>
              <w:top w:val="dotted" w:sz="4" w:space="0" w:color="auto"/>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balances</w:t>
            </w:r>
          </w:p>
        </w:tc>
        <w:tc>
          <w:tcPr>
            <w:tcW w:w="2126"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5.2</w:t>
            </w:r>
          </w:p>
        </w:tc>
        <w:tc>
          <w:tcPr>
            <w:tcW w:w="4111" w:type="dxa"/>
            <w:tcBorders>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Call deposits</w:t>
            </w: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5.3</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overdrafts</w:t>
            </w: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5.4</w:t>
            </w:r>
          </w:p>
        </w:tc>
        <w:tc>
          <w:tcPr>
            <w:tcW w:w="4111" w:type="dxa"/>
            <w:tcBorders>
              <w:top w:val="nil"/>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Other (provide details)</w:t>
            </w:r>
          </w:p>
        </w:tc>
        <w:tc>
          <w:tcPr>
            <w:tcW w:w="2126"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c>
          <w:tcPr>
            <w:tcW w:w="2126"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p>
        </w:tc>
      </w:tr>
      <w:tr w:rsidR="00DF56C0" w:rsidRPr="00DF56C0" w:rsidTr="00267B13">
        <w:trPr>
          <w:cantSplit/>
        </w:trPr>
        <w:tc>
          <w:tcPr>
            <w:tcW w:w="709" w:type="dxa"/>
            <w:tcBorders>
              <w:top w:val="nil"/>
              <w:left w:val="dotted" w:sz="4" w:space="0" w:color="auto"/>
              <w:bottom w:val="dotted" w:sz="4" w:space="0" w:color="auto"/>
              <w:right w:val="nil"/>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5.5</w:t>
            </w:r>
          </w:p>
        </w:tc>
        <w:tc>
          <w:tcPr>
            <w:tcW w:w="4111" w:type="dxa"/>
            <w:tcBorders>
              <w:top w:val="nil"/>
              <w:left w:val="nil"/>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Cash and cash equivalents at end of quarter (should equal item 4.6 above)</w:t>
            </w:r>
          </w:p>
        </w:tc>
        <w:tc>
          <w:tcPr>
            <w:tcW w:w="2126"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2"/>
              </w:rPr>
            </w:pPr>
          </w:p>
        </w:tc>
        <w:tc>
          <w:tcPr>
            <w:tcW w:w="2126" w:type="dxa"/>
            <w:tcBorders>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2"/>
              </w:rPr>
            </w:pPr>
          </w:p>
        </w:tc>
      </w:tr>
    </w:tbl>
    <w:p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rsidTr="00267B13">
        <w:trPr>
          <w:cantSplit/>
        </w:trPr>
        <w:tc>
          <w:tcPr>
            <w:tcW w:w="709" w:type="dxa"/>
            <w:tcBorders>
              <w:lef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bookmarkStart w:id="1" w:name="_Toc378670161"/>
            <w:r w:rsidRPr="00DF56C0">
              <w:rPr>
                <w:rFonts w:cs="Arial"/>
                <w:b/>
                <w:bCs/>
                <w:sz w:val="22"/>
                <w:szCs w:val="20"/>
                <w:lang w:val="en-GB"/>
              </w:rPr>
              <w:t>6.</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directors of the entity and their associates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6.1</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6.2</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6.3</w:t>
            </w:r>
          </w:p>
        </w:tc>
        <w:tc>
          <w:tcPr>
            <w:tcW w:w="8363" w:type="dxa"/>
            <w:gridSpan w:val="2"/>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6.1 and 6.2</w:t>
            </w:r>
          </w:p>
        </w:tc>
      </w:tr>
      <w:tr w:rsidR="00DF56C0" w:rsidRPr="00DF56C0"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rsidTr="00267B13">
        <w:trPr>
          <w:cantSplit/>
        </w:trPr>
        <w:tc>
          <w:tcPr>
            <w:tcW w:w="709" w:type="dxa"/>
            <w:tcBorders>
              <w:lef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7.</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related entities of the entity and their associates</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7.1</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7.2</w:t>
            </w:r>
          </w:p>
        </w:tc>
        <w:tc>
          <w:tcPr>
            <w:tcW w:w="6237"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rsidTr="00267B13">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7.3</w:t>
            </w:r>
          </w:p>
        </w:tc>
        <w:tc>
          <w:tcPr>
            <w:tcW w:w="8363" w:type="dxa"/>
            <w:gridSpan w:val="2"/>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7.1 and 7.2</w:t>
            </w:r>
          </w:p>
        </w:tc>
      </w:tr>
      <w:tr w:rsidR="00DF56C0" w:rsidRPr="00DF56C0"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74"/>
        <w:gridCol w:w="2078"/>
      </w:tblGrid>
      <w:tr w:rsidR="00DF56C0" w:rsidRPr="00DF56C0" w:rsidTr="006E2556">
        <w:trPr>
          <w:cantSplit/>
        </w:trPr>
        <w:tc>
          <w:tcPr>
            <w:tcW w:w="709" w:type="dxa"/>
            <w:tcBorders>
              <w:left w:val="nil"/>
            </w:tcBorders>
          </w:tcPr>
          <w:bookmarkEnd w:id="1"/>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lastRenderedPageBreak/>
              <w:t>8.</w:t>
            </w:r>
          </w:p>
        </w:tc>
        <w:tc>
          <w:tcPr>
            <w:tcW w:w="4111" w:type="dxa"/>
            <w:tcBorders>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0"/>
                <w:lang w:val="en-GB"/>
              </w:rPr>
            </w:pPr>
            <w:r w:rsidRPr="00DF56C0">
              <w:rPr>
                <w:rFonts w:cs="Arial"/>
                <w:b/>
                <w:sz w:val="22"/>
                <w:szCs w:val="20"/>
                <w:lang w:val="en-GB"/>
              </w:rPr>
              <w:t>Financing</w:t>
            </w:r>
            <w:r w:rsidRPr="00DF56C0">
              <w:rPr>
                <w:rFonts w:cs="Arial"/>
                <w:sz w:val="22"/>
                <w:szCs w:val="20"/>
                <w:lang w:val="en-GB"/>
              </w:rPr>
              <w:t xml:space="preserve"> </w:t>
            </w:r>
            <w:r w:rsidRPr="00DF56C0">
              <w:rPr>
                <w:rFonts w:cs="Arial"/>
                <w:b/>
                <w:sz w:val="22"/>
                <w:szCs w:val="20"/>
                <w:lang w:val="en-GB"/>
              </w:rPr>
              <w:t>facilities available</w:t>
            </w:r>
            <w:r w:rsidRPr="00DF56C0">
              <w:rPr>
                <w:rFonts w:cs="Arial"/>
                <w:sz w:val="22"/>
                <w:szCs w:val="20"/>
                <w:lang w:val="en-GB"/>
              </w:rPr>
              <w:br/>
            </w:r>
            <w:r w:rsidRPr="00DF56C0">
              <w:rPr>
                <w:rFonts w:cs="Arial"/>
                <w:i/>
                <w:szCs w:val="20"/>
                <w:lang w:val="en-GB"/>
              </w:rPr>
              <w:t>Add notes as necessary for an understanding of the position</w:t>
            </w:r>
          </w:p>
        </w:tc>
        <w:tc>
          <w:tcPr>
            <w:tcW w:w="2174"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Total facility amount at quarter end</w:t>
            </w:r>
            <w:r w:rsidRPr="00DF56C0">
              <w:rPr>
                <w:rFonts w:cs="Arial"/>
                <w:b/>
                <w:bCs/>
                <w:szCs w:val="20"/>
                <w:lang w:val="fr-FR"/>
              </w:rPr>
              <w:br/>
              <w:t xml:space="preserve">$A’000 </w:t>
            </w:r>
          </w:p>
        </w:tc>
        <w:tc>
          <w:tcPr>
            <w:tcW w:w="207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Amount drawn at quarter end</w:t>
            </w:r>
            <w:r w:rsidRPr="00DF56C0">
              <w:rPr>
                <w:rFonts w:cs="Arial"/>
                <w:b/>
                <w:bCs/>
                <w:szCs w:val="20"/>
                <w:lang w:val="fr-FR"/>
              </w:rPr>
              <w:br/>
              <w:t>$A’000</w:t>
            </w:r>
          </w:p>
        </w:tc>
      </w:tr>
      <w:tr w:rsidR="00DF56C0" w:rsidRPr="00DF56C0" w:rsidTr="006E2556">
        <w:trPr>
          <w:cantSplit/>
        </w:trPr>
        <w:tc>
          <w:tcPr>
            <w:tcW w:w="709" w:type="dxa"/>
            <w:tcBorders>
              <w:left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8.1</w:t>
            </w:r>
          </w:p>
        </w:tc>
        <w:tc>
          <w:tcPr>
            <w:tcW w:w="4111"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Loan facilities</w:t>
            </w:r>
          </w:p>
        </w:tc>
        <w:tc>
          <w:tcPr>
            <w:tcW w:w="2174"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7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6E2556">
        <w:trPr>
          <w:cantSplit/>
        </w:trPr>
        <w:tc>
          <w:tcPr>
            <w:tcW w:w="709" w:type="dxa"/>
            <w:tcBorders>
              <w:top w:val="nil"/>
              <w:left w:val="nil"/>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8.2</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Credit standby arrangements</w:t>
            </w:r>
          </w:p>
        </w:tc>
        <w:tc>
          <w:tcPr>
            <w:tcW w:w="2174"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7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6E2556">
        <w:trPr>
          <w:cantSplit/>
        </w:trPr>
        <w:tc>
          <w:tcPr>
            <w:tcW w:w="709" w:type="dxa"/>
            <w:tcBorders>
              <w:top w:val="nil"/>
              <w:left w:val="nil"/>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8.3</w:t>
            </w:r>
          </w:p>
        </w:tc>
        <w:tc>
          <w:tcPr>
            <w:tcW w:w="4111"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(please specify)</w:t>
            </w:r>
          </w:p>
        </w:tc>
        <w:tc>
          <w:tcPr>
            <w:tcW w:w="2174"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c>
          <w:tcPr>
            <w:tcW w:w="207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blPrEx>
          <w:tblCellMar>
            <w:left w:w="108" w:type="dxa"/>
            <w:right w:w="108" w:type="dxa"/>
          </w:tblCellMar>
        </w:tblPrEx>
        <w:trPr>
          <w:cantSplit/>
        </w:trPr>
        <w:tc>
          <w:tcPr>
            <w:tcW w:w="709" w:type="dxa"/>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8.4</w:t>
            </w:r>
          </w:p>
        </w:tc>
        <w:tc>
          <w:tcPr>
            <w:tcW w:w="8363" w:type="dxa"/>
            <w:gridSpan w:val="3"/>
            <w:tcBorders>
              <w:left w:val="nil"/>
              <w:bottom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 description of each facility above, including the lender, interest rate and whether it is secured or unsecured. If any additional facilities have been entered into or are proposed to be entered into after quarter end, include details of those facilities as well.</w:t>
            </w:r>
          </w:p>
        </w:tc>
      </w:tr>
      <w:tr w:rsidR="00DF56C0" w:rsidRPr="00DF56C0" w:rsidTr="00267B13">
        <w:tblPrEx>
          <w:tblCellMar>
            <w:left w:w="108" w:type="dxa"/>
            <w:right w:w="108" w:type="dxa"/>
          </w:tblCellMar>
        </w:tblPrEx>
        <w:trPr>
          <w:cantSplit/>
        </w:trPr>
        <w:tc>
          <w:tcPr>
            <w:tcW w:w="9072" w:type="dxa"/>
            <w:gridSpan w:val="4"/>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5025"/>
        <w:gridCol w:w="3338"/>
      </w:tblGrid>
      <w:tr w:rsidR="00DF56C0" w:rsidRPr="00DF56C0" w:rsidTr="00267B13">
        <w:trPr>
          <w:cantSplit/>
        </w:trPr>
        <w:tc>
          <w:tcPr>
            <w:tcW w:w="709" w:type="dxa"/>
            <w:tcBorders>
              <w:top w:val="dotted" w:sz="4" w:space="0" w:color="auto"/>
              <w:left w:val="dotted" w:sz="4" w:space="0" w:color="auto"/>
              <w:bottom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9.</w:t>
            </w:r>
          </w:p>
        </w:tc>
        <w:tc>
          <w:tcPr>
            <w:tcW w:w="5025" w:type="dxa"/>
            <w:tcBorders>
              <w:top w:val="dotted" w:sz="4" w:space="0" w:color="auto"/>
              <w:left w:val="nil"/>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Estimated cash outflows for next quarter</w:t>
            </w:r>
          </w:p>
        </w:tc>
        <w:tc>
          <w:tcPr>
            <w:tcW w:w="333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DF56C0">
              <w:rPr>
                <w:rFonts w:cs="Arial"/>
                <w:b/>
                <w:bCs/>
                <w:szCs w:val="20"/>
                <w:lang w:val="fr-FR"/>
              </w:rPr>
              <w:t>$A’000</w:t>
            </w:r>
          </w:p>
        </w:tc>
      </w:tr>
      <w:tr w:rsidR="00DF56C0" w:rsidRPr="00DF56C0" w:rsidTr="00267B13">
        <w:trPr>
          <w:cantSplit/>
        </w:trPr>
        <w:tc>
          <w:tcPr>
            <w:tcW w:w="709" w:type="dxa"/>
            <w:tcBorders>
              <w:top w:val="dotted" w:sz="4" w:space="0" w:color="auto"/>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9.1</w:t>
            </w:r>
          </w:p>
        </w:tc>
        <w:tc>
          <w:tcPr>
            <w:tcW w:w="5025" w:type="dxa"/>
            <w:tcBorders>
              <w:top w:val="dotted" w:sz="4" w:space="0" w:color="auto"/>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Research and development</w:t>
            </w:r>
          </w:p>
        </w:tc>
        <w:tc>
          <w:tcPr>
            <w:tcW w:w="3338" w:type="dxa"/>
            <w:tcBorders>
              <w:top w:val="dotted" w:sz="4" w:space="0" w:color="auto"/>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9.2</w:t>
            </w:r>
          </w:p>
        </w:tc>
        <w:tc>
          <w:tcPr>
            <w:tcW w:w="5025"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Product manufacturing and operating costs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9.3</w:t>
            </w:r>
          </w:p>
        </w:tc>
        <w:tc>
          <w:tcPr>
            <w:tcW w:w="5025"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Advertising and marketing</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bottom w:val="nil"/>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9.4</w:t>
            </w:r>
          </w:p>
        </w:tc>
        <w:tc>
          <w:tcPr>
            <w:tcW w:w="5025" w:type="dxa"/>
            <w:tcBorders>
              <w:top w:val="nil"/>
              <w:left w:val="nil"/>
              <w:bottom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Leased assets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top w:val="nil"/>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9.5</w:t>
            </w:r>
          </w:p>
        </w:tc>
        <w:tc>
          <w:tcPr>
            <w:tcW w:w="5025" w:type="dxa"/>
            <w:tcBorders>
              <w:top w:val="nil"/>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Staff costs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9.6</w:t>
            </w:r>
          </w:p>
        </w:tc>
        <w:tc>
          <w:tcPr>
            <w:tcW w:w="5025"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Administration and corporate costs</w:t>
            </w:r>
          </w:p>
        </w:tc>
        <w:tc>
          <w:tcPr>
            <w:tcW w:w="3338" w:type="dxa"/>
            <w:tcBorders>
              <w:left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right w:val="nil"/>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9.7</w:t>
            </w:r>
          </w:p>
        </w:tc>
        <w:tc>
          <w:tcPr>
            <w:tcW w:w="5025" w:type="dxa"/>
            <w:tcBorders>
              <w:left w:val="nil"/>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3338" w:type="dxa"/>
            <w:tcBorders>
              <w:left w:val="dotted" w:sz="4" w:space="0" w:color="auto"/>
              <w:bottom w:val="dotted" w:sz="4" w:space="0" w:color="auto"/>
              <w:right w:val="dotted" w:sz="4" w:space="0" w:color="auto"/>
            </w:tcBorders>
          </w:tcPr>
          <w:p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p>
        </w:tc>
      </w:tr>
      <w:tr w:rsidR="00DF56C0" w:rsidRPr="00DF56C0" w:rsidTr="00267B13">
        <w:trPr>
          <w:cantSplit/>
        </w:trPr>
        <w:tc>
          <w:tcPr>
            <w:tcW w:w="709" w:type="dxa"/>
            <w:tcBorders>
              <w:left w:val="dotted" w:sz="4" w:space="0" w:color="auto"/>
              <w:bottom w:val="dotted" w:sz="4" w:space="0" w:color="auto"/>
              <w:right w:val="nil"/>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9.8</w:t>
            </w:r>
          </w:p>
        </w:tc>
        <w:tc>
          <w:tcPr>
            <w:tcW w:w="5025" w:type="dxa"/>
            <w:tcBorders>
              <w:left w:val="nil"/>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Total estimated cash outflows</w:t>
            </w:r>
          </w:p>
        </w:tc>
        <w:tc>
          <w:tcPr>
            <w:tcW w:w="3338" w:type="dxa"/>
            <w:tcBorders>
              <w:top w:val="dotted" w:sz="4" w:space="0" w:color="auto"/>
              <w:left w:val="dotted" w:sz="4" w:space="0" w:color="auto"/>
              <w:bottom w:val="dotted" w:sz="4" w:space="0" w:color="auto"/>
              <w:right w:val="dotted" w:sz="4" w:space="0" w:color="auto"/>
            </w:tcBorders>
          </w:tcPr>
          <w:p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b/>
                <w:color w:val="000000"/>
                <w:szCs w:val="20"/>
              </w:rPr>
            </w:pPr>
          </w:p>
        </w:tc>
      </w:tr>
    </w:tbl>
    <w:p w:rsidR="00DF56C0" w:rsidRPr="00DF56C0" w:rsidRDefault="00DF56C0" w:rsidP="000D1699">
      <w:pPr>
        <w:rPr>
          <w:lang w:val="en-GB"/>
        </w:rPr>
      </w:pPr>
    </w:p>
    <w:tbl>
      <w:tblPr>
        <w:tblW w:w="9107" w:type="dxa"/>
        <w:tblInd w:w="-35" w:type="dxa"/>
        <w:tblLayout w:type="fixed"/>
        <w:tblCellMar>
          <w:left w:w="107" w:type="dxa"/>
          <w:right w:w="107" w:type="dxa"/>
        </w:tblCellMar>
        <w:tblLook w:val="0000" w:firstRow="0" w:lastRow="0" w:firstColumn="0" w:lastColumn="0" w:noHBand="0" w:noVBand="0"/>
      </w:tblPr>
      <w:tblGrid>
        <w:gridCol w:w="709"/>
        <w:gridCol w:w="3402"/>
        <w:gridCol w:w="2410"/>
        <w:gridCol w:w="2586"/>
      </w:tblGrid>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3A7CB5">
              <w:rPr>
                <w:rFonts w:cs="Arial"/>
                <w:b/>
                <w:bCs/>
                <w:sz w:val="22"/>
                <w:szCs w:val="20"/>
                <w:lang w:val="en-GB"/>
              </w:rPr>
              <w:t>10.</w:t>
            </w:r>
          </w:p>
        </w:tc>
        <w:tc>
          <w:tcPr>
            <w:tcW w:w="3402" w:type="dxa"/>
            <w:tcBorders>
              <w:top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3A7CB5">
              <w:rPr>
                <w:rFonts w:cs="Arial"/>
                <w:b/>
                <w:bCs/>
                <w:sz w:val="22"/>
                <w:szCs w:val="20"/>
                <w:lang w:val="en-GB"/>
              </w:rPr>
              <w:t>Acquisitions and disposals of business entities</w:t>
            </w:r>
            <w:r w:rsidRPr="003A7CB5">
              <w:rPr>
                <w:rFonts w:cs="Arial"/>
                <w:b/>
                <w:bCs/>
                <w:sz w:val="22"/>
                <w:szCs w:val="20"/>
                <w:lang w:val="en-GB"/>
              </w:rPr>
              <w:br/>
              <w:t>(items 2.1(b) and 2.2(b) above)</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3A7CB5">
              <w:rPr>
                <w:rFonts w:cs="Arial"/>
                <w:b/>
                <w:bCs/>
                <w:szCs w:val="20"/>
                <w:lang w:val="en-GB"/>
              </w:rPr>
              <w:t>Acquisitions</w:t>
            </w: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3A7CB5">
              <w:rPr>
                <w:rFonts w:cs="Arial"/>
                <w:b/>
                <w:bCs/>
                <w:szCs w:val="20"/>
                <w:lang w:val="en-GB"/>
              </w:rPr>
              <w:t>Disposals</w:t>
            </w:r>
          </w:p>
        </w:tc>
      </w:tr>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10.1</w:t>
            </w:r>
          </w:p>
        </w:tc>
        <w:tc>
          <w:tcPr>
            <w:tcW w:w="3402" w:type="dxa"/>
            <w:tcBorders>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Name of entity</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r>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10.2</w:t>
            </w:r>
          </w:p>
        </w:tc>
        <w:tc>
          <w:tcPr>
            <w:tcW w:w="3402" w:type="dxa"/>
            <w:tcBorders>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Place of incorporation or registration</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r>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10.3</w:t>
            </w:r>
          </w:p>
        </w:tc>
        <w:tc>
          <w:tcPr>
            <w:tcW w:w="3402" w:type="dxa"/>
            <w:tcBorders>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Consideration for acquisition or disposal</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r>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10.4</w:t>
            </w:r>
          </w:p>
        </w:tc>
        <w:tc>
          <w:tcPr>
            <w:tcW w:w="3402" w:type="dxa"/>
            <w:tcBorders>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fr-FR"/>
              </w:rPr>
              <w:t>Total net assets</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p>
        </w:tc>
      </w:tr>
      <w:tr w:rsidR="00DF56C0" w:rsidRPr="003A7CB5" w:rsidTr="00267B13">
        <w:trPr>
          <w:cantSplit/>
        </w:trPr>
        <w:tc>
          <w:tcPr>
            <w:tcW w:w="709" w:type="dxa"/>
            <w:tcBorders>
              <w:top w:val="dotted" w:sz="4" w:space="0" w:color="auto"/>
              <w:left w:val="dotted" w:sz="4" w:space="0" w:color="auto"/>
              <w:bottom w:val="dotted" w:sz="4" w:space="0" w:color="auto"/>
            </w:tcBorders>
          </w:tcPr>
          <w:p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10.5</w:t>
            </w:r>
          </w:p>
        </w:tc>
        <w:tc>
          <w:tcPr>
            <w:tcW w:w="3402" w:type="dxa"/>
            <w:tcBorders>
              <w:bottom w:val="dotted" w:sz="4" w:space="0" w:color="auto"/>
              <w:right w:val="dotted" w:sz="4" w:space="0" w:color="auto"/>
            </w:tcBorders>
          </w:tcPr>
          <w:p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Nature of business</w:t>
            </w:r>
          </w:p>
        </w:tc>
        <w:tc>
          <w:tcPr>
            <w:tcW w:w="2410"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p>
        </w:tc>
        <w:tc>
          <w:tcPr>
            <w:tcW w:w="2586" w:type="dxa"/>
            <w:tcBorders>
              <w:top w:val="dotted" w:sz="4" w:space="0" w:color="auto"/>
              <w:left w:val="dotted" w:sz="4" w:space="0" w:color="auto"/>
              <w:bottom w:val="dotted" w:sz="4" w:space="0" w:color="auto"/>
              <w:right w:val="dotted" w:sz="4" w:space="0" w:color="auto"/>
            </w:tcBorders>
          </w:tcPr>
          <w:p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p>
        </w:tc>
      </w:tr>
    </w:tbl>
    <w:p w:rsidR="00DF56C0" w:rsidRPr="00DF56C0" w:rsidRDefault="00DF56C0" w:rsidP="000D1699">
      <w:pPr>
        <w:rPr>
          <w:lang w:val="en-GB" w:eastAsia="en-AU"/>
        </w:rPr>
      </w:pPr>
    </w:p>
    <w:p w:rsidR="00DF56C0" w:rsidRPr="00C72D1B" w:rsidRDefault="00DF56C0" w:rsidP="00C72D1B">
      <w:pPr>
        <w:pStyle w:val="Heading2"/>
        <w:rPr>
          <w:lang w:val="en-GB"/>
        </w:rPr>
      </w:pPr>
      <w:r w:rsidRPr="00C72D1B">
        <w:rPr>
          <w:lang w:val="en-GB"/>
        </w:rPr>
        <w:lastRenderedPageBreak/>
        <w:t>Compliance statement</w:t>
      </w:r>
    </w:p>
    <w:p w:rsidR="00DF56C0" w:rsidRPr="00C72D1B" w:rsidRDefault="00DF56C0" w:rsidP="00DF56C0">
      <w:pPr>
        <w:keepNext/>
        <w:tabs>
          <w:tab w:val="clear" w:pos="851"/>
          <w:tab w:val="left" w:pos="567"/>
        </w:tabs>
        <w:overflowPunct w:val="0"/>
        <w:autoSpaceDE w:val="0"/>
        <w:autoSpaceDN w:val="0"/>
        <w:adjustRightInd w:val="0"/>
        <w:spacing w:line="240" w:lineRule="atLeast"/>
        <w:ind w:left="567" w:hanging="567"/>
        <w:textAlignment w:val="baseline"/>
        <w:rPr>
          <w:rFonts w:cs="Arial"/>
          <w:color w:val="000080"/>
          <w:szCs w:val="20"/>
          <w:lang w:val="en-GB"/>
        </w:rPr>
      </w:pPr>
      <w:r w:rsidRPr="00C72D1B">
        <w:rPr>
          <w:rFonts w:cs="Arial"/>
          <w:szCs w:val="20"/>
          <w:lang w:val="en-GB"/>
        </w:rPr>
        <w:t>1</w:t>
      </w:r>
      <w:r w:rsidRPr="00C72D1B">
        <w:rPr>
          <w:rFonts w:cs="Arial"/>
          <w:szCs w:val="20"/>
          <w:lang w:val="en-GB"/>
        </w:rPr>
        <w:tab/>
        <w:t>This statement has been prepared in accordance with accounting standards and policies which comply with Listing Rule 19.11A.</w:t>
      </w:r>
    </w:p>
    <w:p w:rsidR="00DF56C0" w:rsidRPr="00C72D1B" w:rsidRDefault="00DF56C0" w:rsidP="00DF56C0">
      <w:pPr>
        <w:keepNext/>
        <w:tabs>
          <w:tab w:val="clear" w:pos="851"/>
          <w:tab w:val="left" w:pos="567"/>
        </w:tabs>
        <w:overflowPunct w:val="0"/>
        <w:autoSpaceDE w:val="0"/>
        <w:autoSpaceDN w:val="0"/>
        <w:adjustRightInd w:val="0"/>
        <w:ind w:left="567" w:hanging="567"/>
        <w:textAlignment w:val="baseline"/>
        <w:rPr>
          <w:rFonts w:cs="Arial"/>
          <w:szCs w:val="20"/>
          <w:lang w:val="en-GB"/>
        </w:rPr>
      </w:pPr>
      <w:r w:rsidRPr="00C72D1B">
        <w:rPr>
          <w:rFonts w:cs="Arial"/>
          <w:szCs w:val="20"/>
          <w:lang w:val="en-GB"/>
        </w:rPr>
        <w:t>2</w:t>
      </w:r>
      <w:r w:rsidRPr="00C72D1B">
        <w:rPr>
          <w:rFonts w:cs="Arial"/>
          <w:szCs w:val="20"/>
          <w:lang w:val="en-GB"/>
        </w:rPr>
        <w:tab/>
        <w:t>This statement gives a true and fair view of the matters disclosed.</w:t>
      </w:r>
    </w:p>
    <w:p w:rsidR="00DF56C0" w:rsidRPr="00C72D1B" w:rsidRDefault="00DF56C0" w:rsidP="000D1699">
      <w:pPr>
        <w:keepNext/>
        <w:rPr>
          <w:rFonts w:cs="Arial"/>
          <w:szCs w:val="20"/>
          <w:lang w:val="en-GB"/>
        </w:rPr>
      </w:pPr>
    </w:p>
    <w:p w:rsidR="00DF56C0" w:rsidRPr="00C72D1B" w:rsidRDefault="00DF56C0" w:rsidP="00DF56C0">
      <w:pPr>
        <w:keepNext/>
        <w:tabs>
          <w:tab w:val="clear" w:pos="851"/>
        </w:tabs>
        <w:overflowPunct w:val="0"/>
        <w:autoSpaceDE w:val="0"/>
        <w:autoSpaceDN w:val="0"/>
        <w:adjustRightInd w:val="0"/>
        <w:spacing w:after="0"/>
        <w:ind w:left="851" w:hanging="851"/>
        <w:textAlignment w:val="baseline"/>
        <w:rPr>
          <w:rFonts w:cs="Arial"/>
          <w:szCs w:val="20"/>
          <w:lang w:val="en-GB"/>
        </w:rPr>
      </w:pPr>
      <w:r w:rsidRPr="00C72D1B">
        <w:rPr>
          <w:rFonts w:cs="Arial"/>
          <w:szCs w:val="20"/>
          <w:lang w:val="en-GB"/>
        </w:rPr>
        <w:t xml:space="preserve">Sign here: </w:t>
      </w:r>
      <w:r w:rsidRPr="00C72D1B">
        <w:rPr>
          <w:rFonts w:cs="Arial"/>
          <w:szCs w:val="20"/>
          <w:lang w:val="en-GB"/>
        </w:rPr>
        <w:tab/>
        <w:t>............................................................</w:t>
      </w:r>
      <w:r w:rsidRPr="00C72D1B">
        <w:rPr>
          <w:rFonts w:cs="Arial"/>
          <w:szCs w:val="20"/>
          <w:lang w:val="en-GB"/>
        </w:rPr>
        <w:tab/>
      </w:r>
      <w:r w:rsidRPr="00C72D1B">
        <w:rPr>
          <w:rFonts w:cs="Arial"/>
          <w:szCs w:val="20"/>
          <w:lang w:val="en-GB"/>
        </w:rPr>
        <w:tab/>
        <w:t>Date: .............................................</w:t>
      </w:r>
    </w:p>
    <w:p w:rsidR="00DF56C0" w:rsidRPr="00C72D1B" w:rsidRDefault="00DF56C0" w:rsidP="00DF56C0">
      <w:pPr>
        <w:keepNext/>
        <w:tabs>
          <w:tab w:val="clear" w:pos="851"/>
        </w:tabs>
        <w:overflowPunct w:val="0"/>
        <w:autoSpaceDE w:val="0"/>
        <w:autoSpaceDN w:val="0"/>
        <w:adjustRightInd w:val="0"/>
        <w:spacing w:before="0"/>
        <w:ind w:left="2552" w:hanging="851"/>
        <w:textAlignment w:val="baseline"/>
        <w:rPr>
          <w:rFonts w:cs="Arial"/>
          <w:szCs w:val="20"/>
          <w:lang w:val="en-GB"/>
        </w:rPr>
      </w:pPr>
      <w:r w:rsidRPr="00C72D1B">
        <w:rPr>
          <w:rFonts w:cs="Arial"/>
          <w:szCs w:val="20"/>
          <w:lang w:val="en-GB"/>
        </w:rPr>
        <w:t>(Director/Company secretary)</w:t>
      </w:r>
    </w:p>
    <w:p w:rsidR="00DF56C0" w:rsidRPr="00C72D1B" w:rsidRDefault="00DF56C0" w:rsidP="000D1699">
      <w:pPr>
        <w:keepNext/>
        <w:rPr>
          <w:rFonts w:cs="Arial"/>
          <w:szCs w:val="20"/>
          <w:lang w:val="en-GB"/>
        </w:rPr>
      </w:pPr>
    </w:p>
    <w:p w:rsidR="00DF56C0" w:rsidRPr="00C72D1B" w:rsidRDefault="00DF56C0" w:rsidP="00DF56C0">
      <w:pPr>
        <w:tabs>
          <w:tab w:val="clear" w:pos="851"/>
        </w:tabs>
        <w:overflowPunct w:val="0"/>
        <w:autoSpaceDE w:val="0"/>
        <w:autoSpaceDN w:val="0"/>
        <w:adjustRightInd w:val="0"/>
        <w:ind w:left="851" w:hanging="851"/>
        <w:textAlignment w:val="baseline"/>
        <w:rPr>
          <w:rFonts w:cs="Arial"/>
          <w:szCs w:val="20"/>
          <w:lang w:val="en-GB"/>
        </w:rPr>
      </w:pPr>
      <w:r w:rsidRPr="00C72D1B">
        <w:rPr>
          <w:rFonts w:cs="Arial"/>
          <w:szCs w:val="20"/>
          <w:lang w:val="en-GB"/>
        </w:rPr>
        <w:t xml:space="preserve">Print name: </w:t>
      </w:r>
      <w:r w:rsidRPr="00C72D1B">
        <w:rPr>
          <w:rFonts w:cs="Arial"/>
          <w:szCs w:val="20"/>
          <w:lang w:val="en-GB"/>
        </w:rPr>
        <w:tab/>
        <w:t>.........................................................</w:t>
      </w:r>
    </w:p>
    <w:p w:rsidR="00DF56C0" w:rsidRPr="00C72D1B" w:rsidRDefault="00DF56C0" w:rsidP="000D1699">
      <w:pPr>
        <w:keepNext/>
        <w:rPr>
          <w:rFonts w:cs="Arial"/>
          <w:szCs w:val="20"/>
          <w:lang w:val="en-GB"/>
        </w:rPr>
      </w:pPr>
    </w:p>
    <w:p w:rsidR="00DF56C0" w:rsidRPr="00C72D1B" w:rsidRDefault="00DF56C0" w:rsidP="00DF56C0">
      <w:pPr>
        <w:keepNext/>
        <w:tabs>
          <w:tab w:val="clear" w:pos="851"/>
        </w:tabs>
        <w:overflowPunct w:val="0"/>
        <w:autoSpaceDE w:val="0"/>
        <w:autoSpaceDN w:val="0"/>
        <w:adjustRightInd w:val="0"/>
        <w:textAlignment w:val="baseline"/>
        <w:outlineLvl w:val="1"/>
        <w:rPr>
          <w:rFonts w:cs="Arial"/>
          <w:b/>
          <w:szCs w:val="20"/>
          <w:lang w:val="en-GB"/>
        </w:rPr>
      </w:pPr>
      <w:r w:rsidRPr="00C72D1B">
        <w:rPr>
          <w:rFonts w:cs="Arial"/>
          <w:b/>
          <w:szCs w:val="20"/>
          <w:lang w:val="en-GB"/>
        </w:rPr>
        <w:t>Notes</w:t>
      </w:r>
    </w:p>
    <w:p w:rsidR="00DF56C0" w:rsidRPr="00C72D1B" w:rsidRDefault="00DF56C0" w:rsidP="00DF56C0">
      <w:pPr>
        <w:keepNext/>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1.</w:t>
      </w:r>
      <w:r w:rsidRPr="00C72D1B">
        <w:rPr>
          <w:rFonts w:cs="Arial"/>
          <w:szCs w:val="20"/>
          <w:lang w:val="en-GB"/>
        </w:rPr>
        <w:tab/>
        <w:t>The quarterly report provides a basis for informing the market how the entity’s activities have been financed for the past quarter and the effect on its cash position. An entity that wishes to disclose additional information is encouraged to do so, in a note or notes included in or attached to this report.</w:t>
      </w:r>
    </w:p>
    <w:p w:rsidR="00DF56C0" w:rsidRPr="00C72D1B" w:rsidRDefault="00DF56C0" w:rsidP="00DF56C0">
      <w:pPr>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2.</w:t>
      </w:r>
      <w:r w:rsidRPr="00C72D1B">
        <w:rPr>
          <w:rFonts w:cs="Arial"/>
          <w:szCs w:val="20"/>
          <w:lang w:val="en-GB"/>
        </w:rPr>
        <w:tab/>
        <w:t xml:space="preserve">If this quarterly report has been prepared in accordance with Australian Accounting Standards, the definitions in, and provisions of, </w:t>
      </w:r>
      <w:r w:rsidRPr="00C72D1B">
        <w:rPr>
          <w:rFonts w:cs="Arial"/>
          <w:i/>
          <w:szCs w:val="20"/>
          <w:lang w:val="en-GB"/>
        </w:rPr>
        <w:t xml:space="preserve">AASB 107: Statement of Cash Flows </w:t>
      </w:r>
      <w:r w:rsidRPr="00C72D1B">
        <w:rPr>
          <w:rFonts w:cs="Arial"/>
          <w:szCs w:val="20"/>
          <w:lang w:val="en-GB"/>
        </w:rPr>
        <w:t>apply to this report. If this quarterly report has been prepared in accordance with other accounting standards agreed by ASX pursuant to Listing Rule 19.11A, the corresponding equivalent standard applies to this report.</w:t>
      </w:r>
    </w:p>
    <w:p w:rsidR="00DF56C0" w:rsidRPr="00C72D1B" w:rsidRDefault="00DF56C0" w:rsidP="00DF56C0">
      <w:pPr>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3.</w:t>
      </w:r>
      <w:r w:rsidRPr="00C72D1B">
        <w:rPr>
          <w:rFonts w:cs="Arial"/>
          <w:szCs w:val="20"/>
          <w:lang w:val="en-GB"/>
        </w:rPr>
        <w:tab/>
        <w:t>Dividends received may be classified either as cash flows from operating activities or cash flows from investing activities, depending on the accounting policy of the entity.</w:t>
      </w:r>
    </w:p>
    <w:p w:rsidR="00473C51" w:rsidRPr="00C72D1B" w:rsidRDefault="00473C51" w:rsidP="00473C51">
      <w:pPr>
        <w:rPr>
          <w:rFonts w:cs="Arial"/>
          <w:szCs w:val="20"/>
        </w:rPr>
      </w:pPr>
    </w:p>
    <w:sectPr w:rsidR="00473C51" w:rsidRPr="00C72D1B" w:rsidSect="0089621A">
      <w:headerReference w:type="default" r:id="rId8"/>
      <w:footerReference w:type="default" r:id="rId9"/>
      <w:pgSz w:w="11907" w:h="16840" w:code="9"/>
      <w:pgMar w:top="1440" w:right="1418" w:bottom="1134" w:left="1418"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FE5" w:rsidRDefault="000B6FE5">
      <w:r>
        <w:separator/>
      </w:r>
    </w:p>
  </w:endnote>
  <w:endnote w:type="continuationSeparator" w:id="0">
    <w:p w:rsidR="000B6FE5" w:rsidRDefault="000B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7E4" w:rsidRPr="00EA08BB" w:rsidRDefault="000637E4" w:rsidP="004B4C5B">
    <w:pPr>
      <w:pStyle w:val="Footer"/>
      <w:pBdr>
        <w:top w:val="single" w:sz="4" w:space="1" w:color="auto"/>
      </w:pBdr>
    </w:pPr>
    <w:r>
      <w:t xml:space="preserve">+ </w:t>
    </w:r>
    <w:r w:rsidRPr="004B4C5B">
      <w:t>See chapter 19 for defined terms</w:t>
    </w:r>
  </w:p>
  <w:p w:rsidR="000637E4" w:rsidRDefault="00B815A8" w:rsidP="0055625E">
    <w:pPr>
      <w:pStyle w:val="Footer"/>
      <w:ind w:right="360"/>
    </w:pPr>
    <w:r>
      <w:rPr>
        <w:i/>
      </w:rPr>
      <w:t>1</w:t>
    </w:r>
    <w:r w:rsidR="000D1699">
      <w:rPr>
        <w:i/>
      </w:rPr>
      <w:t xml:space="preserve"> September </w:t>
    </w:r>
    <w:r w:rsidR="001E7B25" w:rsidRPr="001E7B25">
      <w:rPr>
        <w:i/>
      </w:rPr>
      <w:t>2016</w:t>
    </w:r>
    <w:r w:rsidR="000637E4">
      <w:tab/>
    </w:r>
    <w:r w:rsidR="000637E4">
      <w:tab/>
      <w:t xml:space="preserve">Page </w:t>
    </w:r>
    <w:r w:rsidR="000637E4">
      <w:rPr>
        <w:rStyle w:val="PageNumber"/>
      </w:rPr>
      <w:fldChar w:fldCharType="begin"/>
    </w:r>
    <w:r w:rsidR="000637E4">
      <w:rPr>
        <w:rStyle w:val="PageNumber"/>
      </w:rPr>
      <w:instrText xml:space="preserve"> PAGE </w:instrText>
    </w:r>
    <w:r w:rsidR="000637E4">
      <w:rPr>
        <w:rStyle w:val="PageNumber"/>
      </w:rPr>
      <w:fldChar w:fldCharType="separate"/>
    </w:r>
    <w:r w:rsidR="00DB2FB9">
      <w:rPr>
        <w:rStyle w:val="PageNumber"/>
        <w:noProof/>
      </w:rPr>
      <w:t>1</w:t>
    </w:r>
    <w:r w:rsidR="000637E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FE5" w:rsidRDefault="000B6FE5">
      <w:r>
        <w:separator/>
      </w:r>
    </w:p>
  </w:footnote>
  <w:footnote w:type="continuationSeparator" w:id="0">
    <w:p w:rsidR="000B6FE5" w:rsidRDefault="000B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21A" w:rsidRPr="004B4C5B" w:rsidRDefault="0089621A" w:rsidP="0089621A">
    <w:pPr>
      <w:pStyle w:val="PageHeader"/>
    </w:pPr>
    <w:r>
      <w:rPr>
        <w:rFonts w:ascii="Zurich Cn BT" w:hAnsi="Zurich Cn BT"/>
        <w:color w:val="FF0000"/>
        <w:sz w:val="36"/>
        <w:szCs w:val="36"/>
      </w:rPr>
      <w:tab/>
    </w:r>
    <w:r>
      <w:t>Appendix 4C</w:t>
    </w:r>
  </w:p>
  <w:p w:rsidR="0089621A" w:rsidRDefault="0089621A" w:rsidP="0089621A">
    <w:pPr>
      <w:pStyle w:val="PageHeader"/>
    </w:pPr>
    <w:r w:rsidRPr="004B4C5B">
      <w:tab/>
    </w:r>
    <w:r w:rsidRPr="00473C51">
      <w:t>Quarterly report for entities subject to Listing Rule 4.7B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70A1F98"/>
    <w:multiLevelType w:val="hybridMultilevel"/>
    <w:tmpl w:val="007E6164"/>
    <w:lvl w:ilvl="0" w:tplc="28A48D16">
      <w:start w:val="1"/>
      <w:numFmt w:val="lowerLetter"/>
      <w:pStyle w:val="NumberingLevel3"/>
      <w:lvlText w:val="(%1)"/>
      <w:lvlJc w:val="left"/>
      <w:pPr>
        <w:ind w:left="360" w:hanging="360"/>
      </w:pPr>
      <w:rPr>
        <w:rFonts w:hint="default"/>
        <w:b w:val="0"/>
        <w:bCs w:val="0"/>
        <w:i w:val="0"/>
        <w:iCs w:val="0"/>
        <w:caps w:val="0"/>
        <w:strike w:val="0"/>
        <w:dstrike w:val="0"/>
        <w:vanish w:val="0"/>
        <w:color w:val="000000"/>
        <w:spacing w:val="0"/>
        <w:kern w:val="0"/>
        <w:position w:val="0"/>
        <w:sz w:val="22"/>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2"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3"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D0F5763"/>
    <w:multiLevelType w:val="hybridMultilevel"/>
    <w:tmpl w:val="572EF2E8"/>
    <w:lvl w:ilvl="0" w:tplc="0C090001">
      <w:start w:val="1"/>
      <w:numFmt w:val="bullet"/>
      <w:lvlText w:val=""/>
      <w:lvlJc w:val="left"/>
      <w:pPr>
        <w:tabs>
          <w:tab w:val="num" w:pos="770"/>
        </w:tabs>
        <w:ind w:left="770" w:hanging="360"/>
      </w:pPr>
      <w:rPr>
        <w:rFonts w:ascii="Symbol" w:hAnsi="Symbol" w:hint="default"/>
      </w:rPr>
    </w:lvl>
    <w:lvl w:ilvl="1" w:tplc="0C090003" w:tentative="1">
      <w:start w:val="1"/>
      <w:numFmt w:val="bullet"/>
      <w:lvlText w:val="o"/>
      <w:lvlJc w:val="left"/>
      <w:pPr>
        <w:tabs>
          <w:tab w:val="num" w:pos="1490"/>
        </w:tabs>
        <w:ind w:left="1490" w:hanging="360"/>
      </w:pPr>
      <w:rPr>
        <w:rFonts w:ascii="Courier New" w:hAnsi="Courier New" w:cs="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cs="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cs="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52"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9"/>
  </w:num>
  <w:num w:numId="2">
    <w:abstractNumId w:val="49"/>
  </w:num>
  <w:num w:numId="3">
    <w:abstractNumId w:val="42"/>
  </w:num>
  <w:num w:numId="4">
    <w:abstractNumId w:val="58"/>
  </w:num>
  <w:num w:numId="5">
    <w:abstractNumId w:val="53"/>
  </w:num>
  <w:num w:numId="6">
    <w:abstractNumId w:val="43"/>
  </w:num>
  <w:num w:numId="7">
    <w:abstractNumId w:val="20"/>
  </w:num>
  <w:num w:numId="8">
    <w:abstractNumId w:val="7"/>
  </w:num>
  <w:num w:numId="9">
    <w:abstractNumId w:val="21"/>
  </w:num>
  <w:num w:numId="10">
    <w:abstractNumId w:val="8"/>
  </w:num>
  <w:num w:numId="11">
    <w:abstractNumId w:val="5"/>
  </w:num>
  <w:num w:numId="12">
    <w:abstractNumId w:val="47"/>
  </w:num>
  <w:num w:numId="13">
    <w:abstractNumId w:val="45"/>
  </w:num>
  <w:num w:numId="14">
    <w:abstractNumId w:val="17"/>
  </w:num>
  <w:num w:numId="15">
    <w:abstractNumId w:val="15"/>
  </w:num>
  <w:num w:numId="16">
    <w:abstractNumId w:val="27"/>
  </w:num>
  <w:num w:numId="17">
    <w:abstractNumId w:val="10"/>
  </w:num>
  <w:num w:numId="18">
    <w:abstractNumId w:val="39"/>
  </w:num>
  <w:num w:numId="19">
    <w:abstractNumId w:val="64"/>
  </w:num>
  <w:num w:numId="20">
    <w:abstractNumId w:val="13"/>
  </w:num>
  <w:num w:numId="21">
    <w:abstractNumId w:val="32"/>
  </w:num>
  <w:num w:numId="22">
    <w:abstractNumId w:val="11"/>
  </w:num>
  <w:num w:numId="23">
    <w:abstractNumId w:val="4"/>
  </w:num>
  <w:num w:numId="24">
    <w:abstractNumId w:val="44"/>
  </w:num>
  <w:num w:numId="25">
    <w:abstractNumId w:val="25"/>
  </w:num>
  <w:num w:numId="26">
    <w:abstractNumId w:val="28"/>
  </w:num>
  <w:num w:numId="27">
    <w:abstractNumId w:val="9"/>
  </w:num>
  <w:num w:numId="28">
    <w:abstractNumId w:val="18"/>
  </w:num>
  <w:num w:numId="29">
    <w:abstractNumId w:val="38"/>
  </w:num>
  <w:num w:numId="30">
    <w:abstractNumId w:val="14"/>
  </w:num>
  <w:num w:numId="31">
    <w:abstractNumId w:val="62"/>
  </w:num>
  <w:num w:numId="32">
    <w:abstractNumId w:val="36"/>
  </w:num>
  <w:num w:numId="33">
    <w:abstractNumId w:val="3"/>
  </w:num>
  <w:num w:numId="34">
    <w:abstractNumId w:val="23"/>
  </w:num>
  <w:num w:numId="35">
    <w:abstractNumId w:val="61"/>
  </w:num>
  <w:num w:numId="36">
    <w:abstractNumId w:val="48"/>
  </w:num>
  <w:num w:numId="37">
    <w:abstractNumId w:val="19"/>
  </w:num>
  <w:num w:numId="38">
    <w:abstractNumId w:val="33"/>
  </w:num>
  <w:num w:numId="39">
    <w:abstractNumId w:val="2"/>
  </w:num>
  <w:num w:numId="40">
    <w:abstractNumId w:val="50"/>
  </w:num>
  <w:num w:numId="41">
    <w:abstractNumId w:val="31"/>
  </w:num>
  <w:num w:numId="42">
    <w:abstractNumId w:val="52"/>
  </w:num>
  <w:num w:numId="43">
    <w:abstractNumId w:val="26"/>
  </w:num>
  <w:num w:numId="44">
    <w:abstractNumId w:val="60"/>
  </w:num>
  <w:num w:numId="45">
    <w:abstractNumId w:val="24"/>
  </w:num>
  <w:num w:numId="46">
    <w:abstractNumId w:val="34"/>
  </w:num>
  <w:num w:numId="47">
    <w:abstractNumId w:val="22"/>
  </w:num>
  <w:num w:numId="48">
    <w:abstractNumId w:val="12"/>
  </w:num>
  <w:num w:numId="49">
    <w:abstractNumId w:val="55"/>
  </w:num>
  <w:num w:numId="50">
    <w:abstractNumId w:val="29"/>
  </w:num>
  <w:num w:numId="51">
    <w:abstractNumId w:val="37"/>
  </w:num>
  <w:num w:numId="52">
    <w:abstractNumId w:val="1"/>
  </w:num>
  <w:num w:numId="53">
    <w:abstractNumId w:val="30"/>
  </w:num>
  <w:num w:numId="54">
    <w:abstractNumId w:val="16"/>
  </w:num>
  <w:num w:numId="55">
    <w:abstractNumId w:val="57"/>
  </w:num>
  <w:num w:numId="56">
    <w:abstractNumId w:val="6"/>
  </w:num>
  <w:num w:numId="57">
    <w:abstractNumId w:val="46"/>
  </w:num>
  <w:num w:numId="58">
    <w:abstractNumId w:val="54"/>
  </w:num>
  <w:num w:numId="59">
    <w:abstractNumId w:val="56"/>
  </w:num>
  <w:num w:numId="60">
    <w:abstractNumId w:val="63"/>
  </w:num>
  <w:num w:numId="61">
    <w:abstractNumId w:val="35"/>
  </w:num>
  <w:num w:numId="62">
    <w:abstractNumId w:val="41"/>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51"/>
  </w:num>
  <w:num w:numId="65">
    <w:abstractNumId w:val="40"/>
  </w:num>
  <w:num w:numId="66">
    <w:abstractNumId w:val="40"/>
    <w:lvlOverride w:ilvl="0">
      <w:startOverride w:val="1"/>
    </w:lvlOverride>
  </w:num>
  <w:num w:numId="67">
    <w:abstractNumId w:val="4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2"/>
    <w:rsid w:val="00002A94"/>
    <w:rsid w:val="00010E59"/>
    <w:rsid w:val="00012039"/>
    <w:rsid w:val="00013578"/>
    <w:rsid w:val="000140C2"/>
    <w:rsid w:val="00014FDA"/>
    <w:rsid w:val="00015BB3"/>
    <w:rsid w:val="00017048"/>
    <w:rsid w:val="000176E0"/>
    <w:rsid w:val="00017853"/>
    <w:rsid w:val="00021279"/>
    <w:rsid w:val="000226DB"/>
    <w:rsid w:val="00022D02"/>
    <w:rsid w:val="00023D95"/>
    <w:rsid w:val="00026633"/>
    <w:rsid w:val="00027F72"/>
    <w:rsid w:val="00031252"/>
    <w:rsid w:val="00031D44"/>
    <w:rsid w:val="00033EA9"/>
    <w:rsid w:val="0003732C"/>
    <w:rsid w:val="000421DC"/>
    <w:rsid w:val="00042D58"/>
    <w:rsid w:val="00043C44"/>
    <w:rsid w:val="00045471"/>
    <w:rsid w:val="00046934"/>
    <w:rsid w:val="0005006B"/>
    <w:rsid w:val="00050ACF"/>
    <w:rsid w:val="00051DDA"/>
    <w:rsid w:val="00052C13"/>
    <w:rsid w:val="00053575"/>
    <w:rsid w:val="00053641"/>
    <w:rsid w:val="000541D0"/>
    <w:rsid w:val="000559D6"/>
    <w:rsid w:val="0005703F"/>
    <w:rsid w:val="00057CB0"/>
    <w:rsid w:val="0006287D"/>
    <w:rsid w:val="000637E4"/>
    <w:rsid w:val="00064C76"/>
    <w:rsid w:val="00066996"/>
    <w:rsid w:val="00067D6F"/>
    <w:rsid w:val="00071C4C"/>
    <w:rsid w:val="00073AE0"/>
    <w:rsid w:val="0008041E"/>
    <w:rsid w:val="00083884"/>
    <w:rsid w:val="000918A6"/>
    <w:rsid w:val="000936C7"/>
    <w:rsid w:val="00093F5E"/>
    <w:rsid w:val="0009451A"/>
    <w:rsid w:val="000A06AB"/>
    <w:rsid w:val="000A10A6"/>
    <w:rsid w:val="000A3B32"/>
    <w:rsid w:val="000A4F1D"/>
    <w:rsid w:val="000A6429"/>
    <w:rsid w:val="000A6CB3"/>
    <w:rsid w:val="000B2769"/>
    <w:rsid w:val="000B574D"/>
    <w:rsid w:val="000B6FE5"/>
    <w:rsid w:val="000B72E6"/>
    <w:rsid w:val="000C1172"/>
    <w:rsid w:val="000C1C04"/>
    <w:rsid w:val="000C20F7"/>
    <w:rsid w:val="000C28E4"/>
    <w:rsid w:val="000C2B4B"/>
    <w:rsid w:val="000C41C8"/>
    <w:rsid w:val="000C446D"/>
    <w:rsid w:val="000C5D9C"/>
    <w:rsid w:val="000C62AF"/>
    <w:rsid w:val="000D1699"/>
    <w:rsid w:val="000D324F"/>
    <w:rsid w:val="000D403A"/>
    <w:rsid w:val="000D6173"/>
    <w:rsid w:val="000D636F"/>
    <w:rsid w:val="000D6650"/>
    <w:rsid w:val="000D743A"/>
    <w:rsid w:val="000E0635"/>
    <w:rsid w:val="000E15B2"/>
    <w:rsid w:val="000E3DCE"/>
    <w:rsid w:val="000E5656"/>
    <w:rsid w:val="000E59E7"/>
    <w:rsid w:val="000E5CA6"/>
    <w:rsid w:val="000E6C92"/>
    <w:rsid w:val="000F075F"/>
    <w:rsid w:val="000F16F1"/>
    <w:rsid w:val="000F2361"/>
    <w:rsid w:val="000F3301"/>
    <w:rsid w:val="000F5863"/>
    <w:rsid w:val="000F5DD9"/>
    <w:rsid w:val="00101AF6"/>
    <w:rsid w:val="00102C96"/>
    <w:rsid w:val="00104779"/>
    <w:rsid w:val="001054EC"/>
    <w:rsid w:val="001056AE"/>
    <w:rsid w:val="00105BCA"/>
    <w:rsid w:val="00106FE9"/>
    <w:rsid w:val="001071DC"/>
    <w:rsid w:val="00107C6B"/>
    <w:rsid w:val="00111654"/>
    <w:rsid w:val="001119A1"/>
    <w:rsid w:val="00111AFA"/>
    <w:rsid w:val="001147B3"/>
    <w:rsid w:val="00114B13"/>
    <w:rsid w:val="00114FDB"/>
    <w:rsid w:val="00116623"/>
    <w:rsid w:val="00116E7B"/>
    <w:rsid w:val="00121630"/>
    <w:rsid w:val="00123F59"/>
    <w:rsid w:val="001267D9"/>
    <w:rsid w:val="00127338"/>
    <w:rsid w:val="00130079"/>
    <w:rsid w:val="001309AC"/>
    <w:rsid w:val="00130F52"/>
    <w:rsid w:val="00131051"/>
    <w:rsid w:val="001323B2"/>
    <w:rsid w:val="0013276B"/>
    <w:rsid w:val="00132E5F"/>
    <w:rsid w:val="00133BC6"/>
    <w:rsid w:val="00133D2A"/>
    <w:rsid w:val="0013557F"/>
    <w:rsid w:val="001369B6"/>
    <w:rsid w:val="00141E89"/>
    <w:rsid w:val="00142449"/>
    <w:rsid w:val="0014364D"/>
    <w:rsid w:val="00144177"/>
    <w:rsid w:val="00146472"/>
    <w:rsid w:val="00150162"/>
    <w:rsid w:val="00150992"/>
    <w:rsid w:val="00150DB1"/>
    <w:rsid w:val="001518FF"/>
    <w:rsid w:val="00154509"/>
    <w:rsid w:val="00154DFB"/>
    <w:rsid w:val="0015581A"/>
    <w:rsid w:val="00156304"/>
    <w:rsid w:val="00160B53"/>
    <w:rsid w:val="001675C2"/>
    <w:rsid w:val="001708D1"/>
    <w:rsid w:val="00170C56"/>
    <w:rsid w:val="00170E78"/>
    <w:rsid w:val="00172CAF"/>
    <w:rsid w:val="0017772A"/>
    <w:rsid w:val="00180A21"/>
    <w:rsid w:val="0018285D"/>
    <w:rsid w:val="001841FB"/>
    <w:rsid w:val="00184B67"/>
    <w:rsid w:val="00185926"/>
    <w:rsid w:val="00186091"/>
    <w:rsid w:val="00187424"/>
    <w:rsid w:val="00187734"/>
    <w:rsid w:val="00191694"/>
    <w:rsid w:val="00194ACE"/>
    <w:rsid w:val="001965AA"/>
    <w:rsid w:val="00197859"/>
    <w:rsid w:val="001A04A5"/>
    <w:rsid w:val="001A1471"/>
    <w:rsid w:val="001A196A"/>
    <w:rsid w:val="001A2E0F"/>
    <w:rsid w:val="001A4C8D"/>
    <w:rsid w:val="001B04BA"/>
    <w:rsid w:val="001B0841"/>
    <w:rsid w:val="001B1482"/>
    <w:rsid w:val="001B3322"/>
    <w:rsid w:val="001B3993"/>
    <w:rsid w:val="001B40A5"/>
    <w:rsid w:val="001B5502"/>
    <w:rsid w:val="001C1936"/>
    <w:rsid w:val="001C1DEA"/>
    <w:rsid w:val="001C255E"/>
    <w:rsid w:val="001C3652"/>
    <w:rsid w:val="001C3A2B"/>
    <w:rsid w:val="001C588D"/>
    <w:rsid w:val="001D1674"/>
    <w:rsid w:val="001D366B"/>
    <w:rsid w:val="001D4F76"/>
    <w:rsid w:val="001D4FCF"/>
    <w:rsid w:val="001D52B3"/>
    <w:rsid w:val="001D57C3"/>
    <w:rsid w:val="001D6931"/>
    <w:rsid w:val="001E08F0"/>
    <w:rsid w:val="001E10CA"/>
    <w:rsid w:val="001E1131"/>
    <w:rsid w:val="001E175A"/>
    <w:rsid w:val="001E2CDD"/>
    <w:rsid w:val="001E5BD3"/>
    <w:rsid w:val="001E678B"/>
    <w:rsid w:val="001E6AC7"/>
    <w:rsid w:val="001E7153"/>
    <w:rsid w:val="001E720D"/>
    <w:rsid w:val="001E7B25"/>
    <w:rsid w:val="001F0290"/>
    <w:rsid w:val="001F182C"/>
    <w:rsid w:val="001F42F2"/>
    <w:rsid w:val="001F4397"/>
    <w:rsid w:val="001F4856"/>
    <w:rsid w:val="001F50BE"/>
    <w:rsid w:val="001F5E0D"/>
    <w:rsid w:val="001F6A1B"/>
    <w:rsid w:val="00200AB1"/>
    <w:rsid w:val="002017B5"/>
    <w:rsid w:val="0020455A"/>
    <w:rsid w:val="002045DB"/>
    <w:rsid w:val="00205EA9"/>
    <w:rsid w:val="00212470"/>
    <w:rsid w:val="00212567"/>
    <w:rsid w:val="00216761"/>
    <w:rsid w:val="00216C68"/>
    <w:rsid w:val="002205BE"/>
    <w:rsid w:val="00223855"/>
    <w:rsid w:val="002249E6"/>
    <w:rsid w:val="002253A4"/>
    <w:rsid w:val="00227008"/>
    <w:rsid w:val="0023393F"/>
    <w:rsid w:val="00235509"/>
    <w:rsid w:val="00235C68"/>
    <w:rsid w:val="00236FEC"/>
    <w:rsid w:val="002436F3"/>
    <w:rsid w:val="0024460C"/>
    <w:rsid w:val="002455E3"/>
    <w:rsid w:val="00247B3B"/>
    <w:rsid w:val="0025214D"/>
    <w:rsid w:val="00252FEE"/>
    <w:rsid w:val="0025377D"/>
    <w:rsid w:val="00253FDD"/>
    <w:rsid w:val="00254190"/>
    <w:rsid w:val="00255007"/>
    <w:rsid w:val="002565EF"/>
    <w:rsid w:val="002568B7"/>
    <w:rsid w:val="00261C48"/>
    <w:rsid w:val="002621E0"/>
    <w:rsid w:val="002631B0"/>
    <w:rsid w:val="002637FC"/>
    <w:rsid w:val="00265564"/>
    <w:rsid w:val="00265C31"/>
    <w:rsid w:val="00267B13"/>
    <w:rsid w:val="00273DB7"/>
    <w:rsid w:val="00283065"/>
    <w:rsid w:val="00285F18"/>
    <w:rsid w:val="002878BC"/>
    <w:rsid w:val="0029042A"/>
    <w:rsid w:val="00290B4C"/>
    <w:rsid w:val="00292050"/>
    <w:rsid w:val="002940D3"/>
    <w:rsid w:val="0029452A"/>
    <w:rsid w:val="00295B12"/>
    <w:rsid w:val="002974E5"/>
    <w:rsid w:val="00297C13"/>
    <w:rsid w:val="002A04DF"/>
    <w:rsid w:val="002A22CC"/>
    <w:rsid w:val="002A300D"/>
    <w:rsid w:val="002A515E"/>
    <w:rsid w:val="002A5C07"/>
    <w:rsid w:val="002B0270"/>
    <w:rsid w:val="002B09E3"/>
    <w:rsid w:val="002B12FF"/>
    <w:rsid w:val="002B1B76"/>
    <w:rsid w:val="002B2618"/>
    <w:rsid w:val="002B44F5"/>
    <w:rsid w:val="002B4EBD"/>
    <w:rsid w:val="002B74D3"/>
    <w:rsid w:val="002C121C"/>
    <w:rsid w:val="002C2276"/>
    <w:rsid w:val="002C4689"/>
    <w:rsid w:val="002C50AC"/>
    <w:rsid w:val="002D1EB5"/>
    <w:rsid w:val="002D3167"/>
    <w:rsid w:val="002D32CB"/>
    <w:rsid w:val="002D6127"/>
    <w:rsid w:val="002D7066"/>
    <w:rsid w:val="002E101C"/>
    <w:rsid w:val="002E3730"/>
    <w:rsid w:val="002F016E"/>
    <w:rsid w:val="002F10E6"/>
    <w:rsid w:val="002F1159"/>
    <w:rsid w:val="002F2C9E"/>
    <w:rsid w:val="002F3C56"/>
    <w:rsid w:val="002F7DAC"/>
    <w:rsid w:val="00300664"/>
    <w:rsid w:val="0030100E"/>
    <w:rsid w:val="00304B1E"/>
    <w:rsid w:val="003052B1"/>
    <w:rsid w:val="003077FD"/>
    <w:rsid w:val="003129FC"/>
    <w:rsid w:val="00313F99"/>
    <w:rsid w:val="00314FA9"/>
    <w:rsid w:val="0031790B"/>
    <w:rsid w:val="00317D18"/>
    <w:rsid w:val="00321494"/>
    <w:rsid w:val="00322B3E"/>
    <w:rsid w:val="003233FB"/>
    <w:rsid w:val="00323445"/>
    <w:rsid w:val="003244DA"/>
    <w:rsid w:val="00326DED"/>
    <w:rsid w:val="003359D2"/>
    <w:rsid w:val="00335D71"/>
    <w:rsid w:val="003434A0"/>
    <w:rsid w:val="00343BDF"/>
    <w:rsid w:val="003465E2"/>
    <w:rsid w:val="00346711"/>
    <w:rsid w:val="00346D5D"/>
    <w:rsid w:val="00347CCB"/>
    <w:rsid w:val="00350A0D"/>
    <w:rsid w:val="00351C0C"/>
    <w:rsid w:val="003525E7"/>
    <w:rsid w:val="00353427"/>
    <w:rsid w:val="003553C5"/>
    <w:rsid w:val="00355F4E"/>
    <w:rsid w:val="0035604D"/>
    <w:rsid w:val="00361AF3"/>
    <w:rsid w:val="00363D73"/>
    <w:rsid w:val="00365483"/>
    <w:rsid w:val="00366023"/>
    <w:rsid w:val="00370848"/>
    <w:rsid w:val="00373859"/>
    <w:rsid w:val="00373FEE"/>
    <w:rsid w:val="00375095"/>
    <w:rsid w:val="003778A3"/>
    <w:rsid w:val="003826EA"/>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4D73"/>
    <w:rsid w:val="003A552C"/>
    <w:rsid w:val="003A7CB5"/>
    <w:rsid w:val="003B1589"/>
    <w:rsid w:val="003B29A4"/>
    <w:rsid w:val="003B3540"/>
    <w:rsid w:val="003B3ED4"/>
    <w:rsid w:val="003B69EF"/>
    <w:rsid w:val="003C0FC0"/>
    <w:rsid w:val="003C195F"/>
    <w:rsid w:val="003C7A1F"/>
    <w:rsid w:val="003D1BEF"/>
    <w:rsid w:val="003D230E"/>
    <w:rsid w:val="003D2582"/>
    <w:rsid w:val="003D4F45"/>
    <w:rsid w:val="003D617C"/>
    <w:rsid w:val="003E0096"/>
    <w:rsid w:val="003E219A"/>
    <w:rsid w:val="003E220A"/>
    <w:rsid w:val="003E2B8E"/>
    <w:rsid w:val="003F2032"/>
    <w:rsid w:val="003F2C95"/>
    <w:rsid w:val="003F59C5"/>
    <w:rsid w:val="003F5D03"/>
    <w:rsid w:val="003F7345"/>
    <w:rsid w:val="003F77E9"/>
    <w:rsid w:val="00403F2C"/>
    <w:rsid w:val="004059B1"/>
    <w:rsid w:val="00406A77"/>
    <w:rsid w:val="00407975"/>
    <w:rsid w:val="00410A4B"/>
    <w:rsid w:val="00411425"/>
    <w:rsid w:val="004132BD"/>
    <w:rsid w:val="0041440C"/>
    <w:rsid w:val="004145A4"/>
    <w:rsid w:val="00421137"/>
    <w:rsid w:val="004215B6"/>
    <w:rsid w:val="0042209B"/>
    <w:rsid w:val="00423D75"/>
    <w:rsid w:val="004279AB"/>
    <w:rsid w:val="00427F7E"/>
    <w:rsid w:val="00430211"/>
    <w:rsid w:val="00433D2C"/>
    <w:rsid w:val="0043719C"/>
    <w:rsid w:val="00440A50"/>
    <w:rsid w:val="00442541"/>
    <w:rsid w:val="00450795"/>
    <w:rsid w:val="00451CBE"/>
    <w:rsid w:val="00452E27"/>
    <w:rsid w:val="00454026"/>
    <w:rsid w:val="0045472F"/>
    <w:rsid w:val="0045564C"/>
    <w:rsid w:val="0045632B"/>
    <w:rsid w:val="00456ED2"/>
    <w:rsid w:val="00457A73"/>
    <w:rsid w:val="00457AEA"/>
    <w:rsid w:val="00465225"/>
    <w:rsid w:val="00473C51"/>
    <w:rsid w:val="00474A2C"/>
    <w:rsid w:val="00474FA1"/>
    <w:rsid w:val="00476274"/>
    <w:rsid w:val="00480450"/>
    <w:rsid w:val="00480914"/>
    <w:rsid w:val="00480D21"/>
    <w:rsid w:val="004834AC"/>
    <w:rsid w:val="00483F9A"/>
    <w:rsid w:val="00484D8F"/>
    <w:rsid w:val="00485630"/>
    <w:rsid w:val="0048571D"/>
    <w:rsid w:val="00487079"/>
    <w:rsid w:val="00487D1B"/>
    <w:rsid w:val="00490D99"/>
    <w:rsid w:val="00496DC1"/>
    <w:rsid w:val="0049714F"/>
    <w:rsid w:val="004975CE"/>
    <w:rsid w:val="004A04E1"/>
    <w:rsid w:val="004A2616"/>
    <w:rsid w:val="004A4449"/>
    <w:rsid w:val="004A61B1"/>
    <w:rsid w:val="004B234A"/>
    <w:rsid w:val="004B3174"/>
    <w:rsid w:val="004B377C"/>
    <w:rsid w:val="004B4C5B"/>
    <w:rsid w:val="004B5007"/>
    <w:rsid w:val="004B64AC"/>
    <w:rsid w:val="004B6605"/>
    <w:rsid w:val="004B6C11"/>
    <w:rsid w:val="004C102D"/>
    <w:rsid w:val="004C2DC8"/>
    <w:rsid w:val="004C3F5A"/>
    <w:rsid w:val="004C40DF"/>
    <w:rsid w:val="004C43DD"/>
    <w:rsid w:val="004C476E"/>
    <w:rsid w:val="004C518B"/>
    <w:rsid w:val="004C5FA1"/>
    <w:rsid w:val="004D0EB2"/>
    <w:rsid w:val="004D1D5F"/>
    <w:rsid w:val="004D3B33"/>
    <w:rsid w:val="004D589C"/>
    <w:rsid w:val="004D6C9F"/>
    <w:rsid w:val="004D7DC3"/>
    <w:rsid w:val="004E2EE7"/>
    <w:rsid w:val="004E3BED"/>
    <w:rsid w:val="004F2978"/>
    <w:rsid w:val="004F367B"/>
    <w:rsid w:val="004F4E26"/>
    <w:rsid w:val="004F60F0"/>
    <w:rsid w:val="004F7A58"/>
    <w:rsid w:val="005015D1"/>
    <w:rsid w:val="0050177E"/>
    <w:rsid w:val="00506692"/>
    <w:rsid w:val="00511C0E"/>
    <w:rsid w:val="0051316B"/>
    <w:rsid w:val="00517EA9"/>
    <w:rsid w:val="005200C2"/>
    <w:rsid w:val="0052126E"/>
    <w:rsid w:val="00522E14"/>
    <w:rsid w:val="0052418F"/>
    <w:rsid w:val="00524E4D"/>
    <w:rsid w:val="00525BE7"/>
    <w:rsid w:val="00526D05"/>
    <w:rsid w:val="00530C15"/>
    <w:rsid w:val="00531565"/>
    <w:rsid w:val="005318E1"/>
    <w:rsid w:val="005325A1"/>
    <w:rsid w:val="005340AE"/>
    <w:rsid w:val="00535076"/>
    <w:rsid w:val="00535756"/>
    <w:rsid w:val="00536561"/>
    <w:rsid w:val="00537E72"/>
    <w:rsid w:val="005457D4"/>
    <w:rsid w:val="00546F8D"/>
    <w:rsid w:val="00547280"/>
    <w:rsid w:val="00547607"/>
    <w:rsid w:val="005479D5"/>
    <w:rsid w:val="00550118"/>
    <w:rsid w:val="00550942"/>
    <w:rsid w:val="00551A3D"/>
    <w:rsid w:val="00553DE7"/>
    <w:rsid w:val="005547B2"/>
    <w:rsid w:val="005560B8"/>
    <w:rsid w:val="0055625E"/>
    <w:rsid w:val="00560330"/>
    <w:rsid w:val="005613DB"/>
    <w:rsid w:val="00561443"/>
    <w:rsid w:val="0056248F"/>
    <w:rsid w:val="00562F59"/>
    <w:rsid w:val="005653A7"/>
    <w:rsid w:val="005719F0"/>
    <w:rsid w:val="005737BF"/>
    <w:rsid w:val="005739B8"/>
    <w:rsid w:val="00575846"/>
    <w:rsid w:val="00576FA3"/>
    <w:rsid w:val="00577B36"/>
    <w:rsid w:val="005815E9"/>
    <w:rsid w:val="00582FC8"/>
    <w:rsid w:val="00587A17"/>
    <w:rsid w:val="005922D3"/>
    <w:rsid w:val="00592DA0"/>
    <w:rsid w:val="00594EA6"/>
    <w:rsid w:val="005A02FC"/>
    <w:rsid w:val="005A0881"/>
    <w:rsid w:val="005A1318"/>
    <w:rsid w:val="005A1C14"/>
    <w:rsid w:val="005A2EEB"/>
    <w:rsid w:val="005A3C6F"/>
    <w:rsid w:val="005A4FD8"/>
    <w:rsid w:val="005A5283"/>
    <w:rsid w:val="005B0550"/>
    <w:rsid w:val="005B18AD"/>
    <w:rsid w:val="005B47A1"/>
    <w:rsid w:val="005B5C46"/>
    <w:rsid w:val="005B7D51"/>
    <w:rsid w:val="005C02E9"/>
    <w:rsid w:val="005C0CAF"/>
    <w:rsid w:val="005C4618"/>
    <w:rsid w:val="005C5F68"/>
    <w:rsid w:val="005C6441"/>
    <w:rsid w:val="005D0BA7"/>
    <w:rsid w:val="005D5E09"/>
    <w:rsid w:val="005D6EC2"/>
    <w:rsid w:val="005E0B7B"/>
    <w:rsid w:val="005E2BE0"/>
    <w:rsid w:val="005E62AC"/>
    <w:rsid w:val="005E7AC5"/>
    <w:rsid w:val="005F1AD2"/>
    <w:rsid w:val="005F6E39"/>
    <w:rsid w:val="005F72F5"/>
    <w:rsid w:val="005F7D12"/>
    <w:rsid w:val="00600495"/>
    <w:rsid w:val="00600F5B"/>
    <w:rsid w:val="00602C26"/>
    <w:rsid w:val="00602CA7"/>
    <w:rsid w:val="00603F29"/>
    <w:rsid w:val="006068F0"/>
    <w:rsid w:val="00607607"/>
    <w:rsid w:val="006104DC"/>
    <w:rsid w:val="006117C8"/>
    <w:rsid w:val="006133C5"/>
    <w:rsid w:val="00615278"/>
    <w:rsid w:val="00616168"/>
    <w:rsid w:val="00620DFD"/>
    <w:rsid w:val="006216D3"/>
    <w:rsid w:val="00621A22"/>
    <w:rsid w:val="0062352F"/>
    <w:rsid w:val="0062537E"/>
    <w:rsid w:val="00625B1D"/>
    <w:rsid w:val="00630752"/>
    <w:rsid w:val="00632838"/>
    <w:rsid w:val="006350D0"/>
    <w:rsid w:val="00637B2B"/>
    <w:rsid w:val="00641CD2"/>
    <w:rsid w:val="006421D6"/>
    <w:rsid w:val="006427B9"/>
    <w:rsid w:val="0064456A"/>
    <w:rsid w:val="00645679"/>
    <w:rsid w:val="00645738"/>
    <w:rsid w:val="00651196"/>
    <w:rsid w:val="00655528"/>
    <w:rsid w:val="00657CE1"/>
    <w:rsid w:val="006607A3"/>
    <w:rsid w:val="00660DFB"/>
    <w:rsid w:val="00666444"/>
    <w:rsid w:val="00670130"/>
    <w:rsid w:val="00671D13"/>
    <w:rsid w:val="00677E57"/>
    <w:rsid w:val="00680BE2"/>
    <w:rsid w:val="00681A6D"/>
    <w:rsid w:val="0068345A"/>
    <w:rsid w:val="00684623"/>
    <w:rsid w:val="00687DE1"/>
    <w:rsid w:val="0069228F"/>
    <w:rsid w:val="006932B3"/>
    <w:rsid w:val="00693436"/>
    <w:rsid w:val="006937EE"/>
    <w:rsid w:val="00693F83"/>
    <w:rsid w:val="00694B95"/>
    <w:rsid w:val="00694FCB"/>
    <w:rsid w:val="006957C1"/>
    <w:rsid w:val="0069600C"/>
    <w:rsid w:val="00696474"/>
    <w:rsid w:val="00696733"/>
    <w:rsid w:val="00697AA8"/>
    <w:rsid w:val="006A17F3"/>
    <w:rsid w:val="006A5E6A"/>
    <w:rsid w:val="006A6127"/>
    <w:rsid w:val="006A6F52"/>
    <w:rsid w:val="006B1CFB"/>
    <w:rsid w:val="006B3D86"/>
    <w:rsid w:val="006B7D97"/>
    <w:rsid w:val="006C0570"/>
    <w:rsid w:val="006C1086"/>
    <w:rsid w:val="006C1452"/>
    <w:rsid w:val="006C2D18"/>
    <w:rsid w:val="006C2D83"/>
    <w:rsid w:val="006D08D8"/>
    <w:rsid w:val="006D0A1A"/>
    <w:rsid w:val="006D158E"/>
    <w:rsid w:val="006E1845"/>
    <w:rsid w:val="006E19A5"/>
    <w:rsid w:val="006E2556"/>
    <w:rsid w:val="006E29C6"/>
    <w:rsid w:val="006E4453"/>
    <w:rsid w:val="006E4B3C"/>
    <w:rsid w:val="006E532C"/>
    <w:rsid w:val="006F3529"/>
    <w:rsid w:val="006F3A4F"/>
    <w:rsid w:val="006F4384"/>
    <w:rsid w:val="00701983"/>
    <w:rsid w:val="007019B3"/>
    <w:rsid w:val="00702FA9"/>
    <w:rsid w:val="00704902"/>
    <w:rsid w:val="00704E7C"/>
    <w:rsid w:val="007058FE"/>
    <w:rsid w:val="00705D42"/>
    <w:rsid w:val="00710CA8"/>
    <w:rsid w:val="00712A2F"/>
    <w:rsid w:val="00712AB2"/>
    <w:rsid w:val="00713D16"/>
    <w:rsid w:val="007158B8"/>
    <w:rsid w:val="00720173"/>
    <w:rsid w:val="0072090A"/>
    <w:rsid w:val="00720FCC"/>
    <w:rsid w:val="00721362"/>
    <w:rsid w:val="00721435"/>
    <w:rsid w:val="00721A89"/>
    <w:rsid w:val="00723D58"/>
    <w:rsid w:val="007243C9"/>
    <w:rsid w:val="00725219"/>
    <w:rsid w:val="0072579A"/>
    <w:rsid w:val="0072638C"/>
    <w:rsid w:val="0073348A"/>
    <w:rsid w:val="00733743"/>
    <w:rsid w:val="00734DCB"/>
    <w:rsid w:val="00735C6D"/>
    <w:rsid w:val="00735DEB"/>
    <w:rsid w:val="00736948"/>
    <w:rsid w:val="00737F1A"/>
    <w:rsid w:val="007409EA"/>
    <w:rsid w:val="007413DC"/>
    <w:rsid w:val="0074214C"/>
    <w:rsid w:val="00742670"/>
    <w:rsid w:val="00744C05"/>
    <w:rsid w:val="00745D2A"/>
    <w:rsid w:val="0074713A"/>
    <w:rsid w:val="0074774C"/>
    <w:rsid w:val="00747842"/>
    <w:rsid w:val="00750F84"/>
    <w:rsid w:val="00751B17"/>
    <w:rsid w:val="00756ACE"/>
    <w:rsid w:val="007575C9"/>
    <w:rsid w:val="0076102E"/>
    <w:rsid w:val="00763A4A"/>
    <w:rsid w:val="00764621"/>
    <w:rsid w:val="00764696"/>
    <w:rsid w:val="00765BC8"/>
    <w:rsid w:val="00767C66"/>
    <w:rsid w:val="007716CC"/>
    <w:rsid w:val="00771AFE"/>
    <w:rsid w:val="007726E0"/>
    <w:rsid w:val="00777C5C"/>
    <w:rsid w:val="00781898"/>
    <w:rsid w:val="0078192C"/>
    <w:rsid w:val="00782A2F"/>
    <w:rsid w:val="007848BD"/>
    <w:rsid w:val="00786CD8"/>
    <w:rsid w:val="007877C7"/>
    <w:rsid w:val="00787C36"/>
    <w:rsid w:val="007921D4"/>
    <w:rsid w:val="007931F4"/>
    <w:rsid w:val="007936FD"/>
    <w:rsid w:val="00794944"/>
    <w:rsid w:val="00797F23"/>
    <w:rsid w:val="007A26B5"/>
    <w:rsid w:val="007A2BB9"/>
    <w:rsid w:val="007A4572"/>
    <w:rsid w:val="007A78BF"/>
    <w:rsid w:val="007B06F3"/>
    <w:rsid w:val="007B15F2"/>
    <w:rsid w:val="007B375F"/>
    <w:rsid w:val="007B6BD1"/>
    <w:rsid w:val="007B7988"/>
    <w:rsid w:val="007C15AA"/>
    <w:rsid w:val="007C31FF"/>
    <w:rsid w:val="007C3450"/>
    <w:rsid w:val="007C4088"/>
    <w:rsid w:val="007C46D9"/>
    <w:rsid w:val="007C4CC5"/>
    <w:rsid w:val="007C55ED"/>
    <w:rsid w:val="007D0B1D"/>
    <w:rsid w:val="007D2DCB"/>
    <w:rsid w:val="007D61E4"/>
    <w:rsid w:val="007D630C"/>
    <w:rsid w:val="007E2AD9"/>
    <w:rsid w:val="007E710A"/>
    <w:rsid w:val="007F2576"/>
    <w:rsid w:val="007F3E7C"/>
    <w:rsid w:val="007F46E2"/>
    <w:rsid w:val="007F64A6"/>
    <w:rsid w:val="008011A0"/>
    <w:rsid w:val="00802FCB"/>
    <w:rsid w:val="008030C1"/>
    <w:rsid w:val="00803133"/>
    <w:rsid w:val="008040CC"/>
    <w:rsid w:val="008043AA"/>
    <w:rsid w:val="0080615D"/>
    <w:rsid w:val="00806A29"/>
    <w:rsid w:val="00806AD2"/>
    <w:rsid w:val="008113E1"/>
    <w:rsid w:val="0081157B"/>
    <w:rsid w:val="0081403C"/>
    <w:rsid w:val="00814176"/>
    <w:rsid w:val="00816EC3"/>
    <w:rsid w:val="00821673"/>
    <w:rsid w:val="00823486"/>
    <w:rsid w:val="0082683F"/>
    <w:rsid w:val="00833489"/>
    <w:rsid w:val="00833FB5"/>
    <w:rsid w:val="008354F9"/>
    <w:rsid w:val="008357D0"/>
    <w:rsid w:val="00841A93"/>
    <w:rsid w:val="00842F80"/>
    <w:rsid w:val="00850B66"/>
    <w:rsid w:val="008517E9"/>
    <w:rsid w:val="0085293D"/>
    <w:rsid w:val="008548BA"/>
    <w:rsid w:val="00854D86"/>
    <w:rsid w:val="008559B7"/>
    <w:rsid w:val="008569D3"/>
    <w:rsid w:val="00857917"/>
    <w:rsid w:val="008616E6"/>
    <w:rsid w:val="008625A6"/>
    <w:rsid w:val="00862E6A"/>
    <w:rsid w:val="00863C28"/>
    <w:rsid w:val="00865D10"/>
    <w:rsid w:val="0087276D"/>
    <w:rsid w:val="00874092"/>
    <w:rsid w:val="0087670B"/>
    <w:rsid w:val="008767A8"/>
    <w:rsid w:val="00880FCC"/>
    <w:rsid w:val="0088174B"/>
    <w:rsid w:val="00881A15"/>
    <w:rsid w:val="0088209F"/>
    <w:rsid w:val="00882A87"/>
    <w:rsid w:val="00885D2C"/>
    <w:rsid w:val="008905AA"/>
    <w:rsid w:val="00890C25"/>
    <w:rsid w:val="00891454"/>
    <w:rsid w:val="00891E40"/>
    <w:rsid w:val="00893017"/>
    <w:rsid w:val="0089621A"/>
    <w:rsid w:val="008A0D5D"/>
    <w:rsid w:val="008A457A"/>
    <w:rsid w:val="008A50C5"/>
    <w:rsid w:val="008A570D"/>
    <w:rsid w:val="008A7563"/>
    <w:rsid w:val="008B2782"/>
    <w:rsid w:val="008B4727"/>
    <w:rsid w:val="008B77AF"/>
    <w:rsid w:val="008B79F0"/>
    <w:rsid w:val="008C3B3A"/>
    <w:rsid w:val="008C5634"/>
    <w:rsid w:val="008C6454"/>
    <w:rsid w:val="008D513E"/>
    <w:rsid w:val="008D5637"/>
    <w:rsid w:val="008D5F8C"/>
    <w:rsid w:val="008D616F"/>
    <w:rsid w:val="008E5B85"/>
    <w:rsid w:val="008E5E5A"/>
    <w:rsid w:val="008E617E"/>
    <w:rsid w:val="008E6B9B"/>
    <w:rsid w:val="008F01B6"/>
    <w:rsid w:val="008F0ACC"/>
    <w:rsid w:val="008F2B04"/>
    <w:rsid w:val="008F382D"/>
    <w:rsid w:val="008F41B7"/>
    <w:rsid w:val="008F67D6"/>
    <w:rsid w:val="009020FA"/>
    <w:rsid w:val="00902124"/>
    <w:rsid w:val="009033B7"/>
    <w:rsid w:val="00904152"/>
    <w:rsid w:val="00905523"/>
    <w:rsid w:val="009112A5"/>
    <w:rsid w:val="00911664"/>
    <w:rsid w:val="0091432B"/>
    <w:rsid w:val="00920605"/>
    <w:rsid w:val="0092124A"/>
    <w:rsid w:val="00923384"/>
    <w:rsid w:val="00924CB6"/>
    <w:rsid w:val="00925016"/>
    <w:rsid w:val="00926864"/>
    <w:rsid w:val="0092760D"/>
    <w:rsid w:val="009302C3"/>
    <w:rsid w:val="00931056"/>
    <w:rsid w:val="009318EF"/>
    <w:rsid w:val="00931A08"/>
    <w:rsid w:val="00931CD8"/>
    <w:rsid w:val="0093546C"/>
    <w:rsid w:val="00937AEB"/>
    <w:rsid w:val="00940DAC"/>
    <w:rsid w:val="009411FD"/>
    <w:rsid w:val="00942155"/>
    <w:rsid w:val="00942225"/>
    <w:rsid w:val="00942EF6"/>
    <w:rsid w:val="00944803"/>
    <w:rsid w:val="00950325"/>
    <w:rsid w:val="009508B1"/>
    <w:rsid w:val="00952CBE"/>
    <w:rsid w:val="009543AC"/>
    <w:rsid w:val="0095703F"/>
    <w:rsid w:val="009571F0"/>
    <w:rsid w:val="0096010E"/>
    <w:rsid w:val="009607CD"/>
    <w:rsid w:val="00962042"/>
    <w:rsid w:val="009670A7"/>
    <w:rsid w:val="00982479"/>
    <w:rsid w:val="00985D42"/>
    <w:rsid w:val="00992A70"/>
    <w:rsid w:val="00993D36"/>
    <w:rsid w:val="009959F8"/>
    <w:rsid w:val="009965FE"/>
    <w:rsid w:val="009A0022"/>
    <w:rsid w:val="009A297A"/>
    <w:rsid w:val="009A5029"/>
    <w:rsid w:val="009A7404"/>
    <w:rsid w:val="009A7642"/>
    <w:rsid w:val="009B079F"/>
    <w:rsid w:val="009B179F"/>
    <w:rsid w:val="009B17E9"/>
    <w:rsid w:val="009B46D2"/>
    <w:rsid w:val="009B5338"/>
    <w:rsid w:val="009C0C7A"/>
    <w:rsid w:val="009C0E56"/>
    <w:rsid w:val="009C237C"/>
    <w:rsid w:val="009C24C9"/>
    <w:rsid w:val="009C338D"/>
    <w:rsid w:val="009C3693"/>
    <w:rsid w:val="009C43DE"/>
    <w:rsid w:val="009C4B3B"/>
    <w:rsid w:val="009C59BB"/>
    <w:rsid w:val="009D0759"/>
    <w:rsid w:val="009D1B38"/>
    <w:rsid w:val="009D2BCD"/>
    <w:rsid w:val="009D3CCD"/>
    <w:rsid w:val="009D492E"/>
    <w:rsid w:val="009D75A1"/>
    <w:rsid w:val="009E23B9"/>
    <w:rsid w:val="009E6C6D"/>
    <w:rsid w:val="009E7C46"/>
    <w:rsid w:val="009F0065"/>
    <w:rsid w:val="009F0791"/>
    <w:rsid w:val="009F75C4"/>
    <w:rsid w:val="009F7855"/>
    <w:rsid w:val="00A01794"/>
    <w:rsid w:val="00A045D9"/>
    <w:rsid w:val="00A07346"/>
    <w:rsid w:val="00A12E59"/>
    <w:rsid w:val="00A148E6"/>
    <w:rsid w:val="00A20429"/>
    <w:rsid w:val="00A2070D"/>
    <w:rsid w:val="00A2497F"/>
    <w:rsid w:val="00A25133"/>
    <w:rsid w:val="00A272BB"/>
    <w:rsid w:val="00A30690"/>
    <w:rsid w:val="00A32084"/>
    <w:rsid w:val="00A32AFB"/>
    <w:rsid w:val="00A32E87"/>
    <w:rsid w:val="00A33F2C"/>
    <w:rsid w:val="00A35BA3"/>
    <w:rsid w:val="00A40268"/>
    <w:rsid w:val="00A435BD"/>
    <w:rsid w:val="00A44D50"/>
    <w:rsid w:val="00A46022"/>
    <w:rsid w:val="00A46523"/>
    <w:rsid w:val="00A52908"/>
    <w:rsid w:val="00A53345"/>
    <w:rsid w:val="00A54BF5"/>
    <w:rsid w:val="00A54CFC"/>
    <w:rsid w:val="00A552EC"/>
    <w:rsid w:val="00A55B81"/>
    <w:rsid w:val="00A565B3"/>
    <w:rsid w:val="00A569DD"/>
    <w:rsid w:val="00A57A3E"/>
    <w:rsid w:val="00A600A5"/>
    <w:rsid w:val="00A60955"/>
    <w:rsid w:val="00A61C49"/>
    <w:rsid w:val="00A6218D"/>
    <w:rsid w:val="00A64981"/>
    <w:rsid w:val="00A6703F"/>
    <w:rsid w:val="00A72B82"/>
    <w:rsid w:val="00A72E85"/>
    <w:rsid w:val="00A74B05"/>
    <w:rsid w:val="00A7518A"/>
    <w:rsid w:val="00A82B95"/>
    <w:rsid w:val="00A8479F"/>
    <w:rsid w:val="00A84A68"/>
    <w:rsid w:val="00A8532E"/>
    <w:rsid w:val="00A85F58"/>
    <w:rsid w:val="00A8625F"/>
    <w:rsid w:val="00A93534"/>
    <w:rsid w:val="00A936E4"/>
    <w:rsid w:val="00A93E62"/>
    <w:rsid w:val="00AA0B90"/>
    <w:rsid w:val="00AA10C5"/>
    <w:rsid w:val="00AA4093"/>
    <w:rsid w:val="00AA5ADC"/>
    <w:rsid w:val="00AA7DFC"/>
    <w:rsid w:val="00AB0AFA"/>
    <w:rsid w:val="00AB2B46"/>
    <w:rsid w:val="00AB32A8"/>
    <w:rsid w:val="00AB498A"/>
    <w:rsid w:val="00AC0207"/>
    <w:rsid w:val="00AC2637"/>
    <w:rsid w:val="00AC299C"/>
    <w:rsid w:val="00AC499B"/>
    <w:rsid w:val="00AC6243"/>
    <w:rsid w:val="00AC6F38"/>
    <w:rsid w:val="00AC7ACE"/>
    <w:rsid w:val="00AD0AF8"/>
    <w:rsid w:val="00AD2282"/>
    <w:rsid w:val="00AD2A6B"/>
    <w:rsid w:val="00AD4244"/>
    <w:rsid w:val="00AD49F4"/>
    <w:rsid w:val="00AD4D05"/>
    <w:rsid w:val="00AE094E"/>
    <w:rsid w:val="00AE1F8C"/>
    <w:rsid w:val="00AE2221"/>
    <w:rsid w:val="00AE2455"/>
    <w:rsid w:val="00AE308C"/>
    <w:rsid w:val="00AE38D3"/>
    <w:rsid w:val="00AE3C23"/>
    <w:rsid w:val="00AE5289"/>
    <w:rsid w:val="00AE7083"/>
    <w:rsid w:val="00AE72F6"/>
    <w:rsid w:val="00AF2DE4"/>
    <w:rsid w:val="00AF489F"/>
    <w:rsid w:val="00AF5307"/>
    <w:rsid w:val="00AF5E7D"/>
    <w:rsid w:val="00AF6431"/>
    <w:rsid w:val="00B04C0C"/>
    <w:rsid w:val="00B05E57"/>
    <w:rsid w:val="00B1107D"/>
    <w:rsid w:val="00B142E9"/>
    <w:rsid w:val="00B16EDF"/>
    <w:rsid w:val="00B1779A"/>
    <w:rsid w:val="00B20009"/>
    <w:rsid w:val="00B20435"/>
    <w:rsid w:val="00B257FE"/>
    <w:rsid w:val="00B339FA"/>
    <w:rsid w:val="00B34321"/>
    <w:rsid w:val="00B35C4C"/>
    <w:rsid w:val="00B369F4"/>
    <w:rsid w:val="00B369FE"/>
    <w:rsid w:val="00B36B60"/>
    <w:rsid w:val="00B4499F"/>
    <w:rsid w:val="00B452DC"/>
    <w:rsid w:val="00B4549D"/>
    <w:rsid w:val="00B46FC3"/>
    <w:rsid w:val="00B52533"/>
    <w:rsid w:val="00B52A53"/>
    <w:rsid w:val="00B54108"/>
    <w:rsid w:val="00B5475C"/>
    <w:rsid w:val="00B61F08"/>
    <w:rsid w:val="00B620C5"/>
    <w:rsid w:val="00B627F9"/>
    <w:rsid w:val="00B62EA3"/>
    <w:rsid w:val="00B64E15"/>
    <w:rsid w:val="00B6540B"/>
    <w:rsid w:val="00B657FD"/>
    <w:rsid w:val="00B6621F"/>
    <w:rsid w:val="00B669D7"/>
    <w:rsid w:val="00B66FEB"/>
    <w:rsid w:val="00B67A97"/>
    <w:rsid w:val="00B7284C"/>
    <w:rsid w:val="00B75091"/>
    <w:rsid w:val="00B770CF"/>
    <w:rsid w:val="00B815A8"/>
    <w:rsid w:val="00B81631"/>
    <w:rsid w:val="00B848D0"/>
    <w:rsid w:val="00B86023"/>
    <w:rsid w:val="00B92CE9"/>
    <w:rsid w:val="00B93DBD"/>
    <w:rsid w:val="00B9540C"/>
    <w:rsid w:val="00BA3EEC"/>
    <w:rsid w:val="00BA428B"/>
    <w:rsid w:val="00BA59FD"/>
    <w:rsid w:val="00BA7176"/>
    <w:rsid w:val="00BA7CC4"/>
    <w:rsid w:val="00BB42E4"/>
    <w:rsid w:val="00BB5A77"/>
    <w:rsid w:val="00BB5D7F"/>
    <w:rsid w:val="00BC140A"/>
    <w:rsid w:val="00BC2615"/>
    <w:rsid w:val="00BC2F92"/>
    <w:rsid w:val="00BC383E"/>
    <w:rsid w:val="00BC3DEA"/>
    <w:rsid w:val="00BC4D6E"/>
    <w:rsid w:val="00BC576F"/>
    <w:rsid w:val="00BC61F2"/>
    <w:rsid w:val="00BC63F4"/>
    <w:rsid w:val="00BD18A1"/>
    <w:rsid w:val="00BD5AB4"/>
    <w:rsid w:val="00BD781B"/>
    <w:rsid w:val="00BE1820"/>
    <w:rsid w:val="00BE1B6D"/>
    <w:rsid w:val="00BE1E03"/>
    <w:rsid w:val="00BE26F5"/>
    <w:rsid w:val="00BE47ED"/>
    <w:rsid w:val="00BE59F9"/>
    <w:rsid w:val="00BF230A"/>
    <w:rsid w:val="00BF293A"/>
    <w:rsid w:val="00BF3931"/>
    <w:rsid w:val="00C01443"/>
    <w:rsid w:val="00C031F8"/>
    <w:rsid w:val="00C0762F"/>
    <w:rsid w:val="00C079B5"/>
    <w:rsid w:val="00C11791"/>
    <w:rsid w:val="00C124DA"/>
    <w:rsid w:val="00C13B20"/>
    <w:rsid w:val="00C13C80"/>
    <w:rsid w:val="00C15675"/>
    <w:rsid w:val="00C202E0"/>
    <w:rsid w:val="00C20521"/>
    <w:rsid w:val="00C26EB8"/>
    <w:rsid w:val="00C30F2A"/>
    <w:rsid w:val="00C3236B"/>
    <w:rsid w:val="00C331C0"/>
    <w:rsid w:val="00C340AE"/>
    <w:rsid w:val="00C348AE"/>
    <w:rsid w:val="00C36099"/>
    <w:rsid w:val="00C36AE6"/>
    <w:rsid w:val="00C3748C"/>
    <w:rsid w:val="00C420F6"/>
    <w:rsid w:val="00C423F0"/>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371"/>
    <w:rsid w:val="00C725EE"/>
    <w:rsid w:val="00C72C94"/>
    <w:rsid w:val="00C72D1B"/>
    <w:rsid w:val="00C73073"/>
    <w:rsid w:val="00C731BD"/>
    <w:rsid w:val="00C76A78"/>
    <w:rsid w:val="00C771CB"/>
    <w:rsid w:val="00C8171E"/>
    <w:rsid w:val="00C82259"/>
    <w:rsid w:val="00C85101"/>
    <w:rsid w:val="00C85BB2"/>
    <w:rsid w:val="00C86054"/>
    <w:rsid w:val="00C86A48"/>
    <w:rsid w:val="00C86BD4"/>
    <w:rsid w:val="00C86CAD"/>
    <w:rsid w:val="00C874B5"/>
    <w:rsid w:val="00C87AF5"/>
    <w:rsid w:val="00C91D85"/>
    <w:rsid w:val="00C93A60"/>
    <w:rsid w:val="00C943FC"/>
    <w:rsid w:val="00C94621"/>
    <w:rsid w:val="00C970A0"/>
    <w:rsid w:val="00C97727"/>
    <w:rsid w:val="00CA10EA"/>
    <w:rsid w:val="00CA2B68"/>
    <w:rsid w:val="00CA37AE"/>
    <w:rsid w:val="00CA41EF"/>
    <w:rsid w:val="00CA77BC"/>
    <w:rsid w:val="00CB0852"/>
    <w:rsid w:val="00CB1112"/>
    <w:rsid w:val="00CB167A"/>
    <w:rsid w:val="00CB3CAB"/>
    <w:rsid w:val="00CB4995"/>
    <w:rsid w:val="00CB57B0"/>
    <w:rsid w:val="00CB6185"/>
    <w:rsid w:val="00CB660A"/>
    <w:rsid w:val="00CC1873"/>
    <w:rsid w:val="00CC23A1"/>
    <w:rsid w:val="00CC3B9F"/>
    <w:rsid w:val="00CC707D"/>
    <w:rsid w:val="00CD1101"/>
    <w:rsid w:val="00CD7552"/>
    <w:rsid w:val="00CE39DF"/>
    <w:rsid w:val="00CE484A"/>
    <w:rsid w:val="00CE5E86"/>
    <w:rsid w:val="00CE6699"/>
    <w:rsid w:val="00CE6F57"/>
    <w:rsid w:val="00CF317C"/>
    <w:rsid w:val="00CF32C4"/>
    <w:rsid w:val="00CF33C9"/>
    <w:rsid w:val="00CF3BCE"/>
    <w:rsid w:val="00CF494D"/>
    <w:rsid w:val="00CF793D"/>
    <w:rsid w:val="00D022DF"/>
    <w:rsid w:val="00D047E4"/>
    <w:rsid w:val="00D052B0"/>
    <w:rsid w:val="00D10FFE"/>
    <w:rsid w:val="00D1303A"/>
    <w:rsid w:val="00D13C85"/>
    <w:rsid w:val="00D1467B"/>
    <w:rsid w:val="00D1651A"/>
    <w:rsid w:val="00D20CDE"/>
    <w:rsid w:val="00D25DFA"/>
    <w:rsid w:val="00D260BF"/>
    <w:rsid w:val="00D31BFF"/>
    <w:rsid w:val="00D32929"/>
    <w:rsid w:val="00D3638F"/>
    <w:rsid w:val="00D367D4"/>
    <w:rsid w:val="00D3735F"/>
    <w:rsid w:val="00D37816"/>
    <w:rsid w:val="00D423A9"/>
    <w:rsid w:val="00D44CD7"/>
    <w:rsid w:val="00D45607"/>
    <w:rsid w:val="00D46354"/>
    <w:rsid w:val="00D46B66"/>
    <w:rsid w:val="00D50390"/>
    <w:rsid w:val="00D52FF4"/>
    <w:rsid w:val="00D60452"/>
    <w:rsid w:val="00D619AA"/>
    <w:rsid w:val="00D66749"/>
    <w:rsid w:val="00D673E0"/>
    <w:rsid w:val="00D676BF"/>
    <w:rsid w:val="00D72C21"/>
    <w:rsid w:val="00D73210"/>
    <w:rsid w:val="00D73474"/>
    <w:rsid w:val="00D74423"/>
    <w:rsid w:val="00D7450F"/>
    <w:rsid w:val="00D75993"/>
    <w:rsid w:val="00D80612"/>
    <w:rsid w:val="00D8145A"/>
    <w:rsid w:val="00D817B6"/>
    <w:rsid w:val="00D844E5"/>
    <w:rsid w:val="00D85BEE"/>
    <w:rsid w:val="00D86320"/>
    <w:rsid w:val="00D9101D"/>
    <w:rsid w:val="00D912B6"/>
    <w:rsid w:val="00D9158C"/>
    <w:rsid w:val="00D92632"/>
    <w:rsid w:val="00D9379F"/>
    <w:rsid w:val="00D947AD"/>
    <w:rsid w:val="00D95598"/>
    <w:rsid w:val="00DA2731"/>
    <w:rsid w:val="00DA27E0"/>
    <w:rsid w:val="00DA5FA6"/>
    <w:rsid w:val="00DA6794"/>
    <w:rsid w:val="00DA71FE"/>
    <w:rsid w:val="00DA7998"/>
    <w:rsid w:val="00DB0759"/>
    <w:rsid w:val="00DB0ACC"/>
    <w:rsid w:val="00DB1437"/>
    <w:rsid w:val="00DB23FB"/>
    <w:rsid w:val="00DB2CD4"/>
    <w:rsid w:val="00DB2FB9"/>
    <w:rsid w:val="00DB4659"/>
    <w:rsid w:val="00DB5F7B"/>
    <w:rsid w:val="00DC0C20"/>
    <w:rsid w:val="00DC1B98"/>
    <w:rsid w:val="00DC7270"/>
    <w:rsid w:val="00DD0BF1"/>
    <w:rsid w:val="00DD0F40"/>
    <w:rsid w:val="00DD2AD7"/>
    <w:rsid w:val="00DD2FC0"/>
    <w:rsid w:val="00DD441B"/>
    <w:rsid w:val="00DD4AEA"/>
    <w:rsid w:val="00DD6B48"/>
    <w:rsid w:val="00DE01C2"/>
    <w:rsid w:val="00DE043E"/>
    <w:rsid w:val="00DE3FCD"/>
    <w:rsid w:val="00DE73A0"/>
    <w:rsid w:val="00DF187A"/>
    <w:rsid w:val="00DF3619"/>
    <w:rsid w:val="00DF3F75"/>
    <w:rsid w:val="00DF56C0"/>
    <w:rsid w:val="00DF5FD5"/>
    <w:rsid w:val="00DF726C"/>
    <w:rsid w:val="00DF7F6C"/>
    <w:rsid w:val="00DF7FD0"/>
    <w:rsid w:val="00E00B65"/>
    <w:rsid w:val="00E01A44"/>
    <w:rsid w:val="00E0269A"/>
    <w:rsid w:val="00E0329E"/>
    <w:rsid w:val="00E03D0F"/>
    <w:rsid w:val="00E03D47"/>
    <w:rsid w:val="00E0403B"/>
    <w:rsid w:val="00E04313"/>
    <w:rsid w:val="00E04C33"/>
    <w:rsid w:val="00E05434"/>
    <w:rsid w:val="00E12138"/>
    <w:rsid w:val="00E13813"/>
    <w:rsid w:val="00E14949"/>
    <w:rsid w:val="00E17ABC"/>
    <w:rsid w:val="00E21610"/>
    <w:rsid w:val="00E24096"/>
    <w:rsid w:val="00E25CD4"/>
    <w:rsid w:val="00E25F6A"/>
    <w:rsid w:val="00E260FD"/>
    <w:rsid w:val="00E26CBF"/>
    <w:rsid w:val="00E27AEE"/>
    <w:rsid w:val="00E305F6"/>
    <w:rsid w:val="00E31079"/>
    <w:rsid w:val="00E31747"/>
    <w:rsid w:val="00E31DFC"/>
    <w:rsid w:val="00E3623A"/>
    <w:rsid w:val="00E378E4"/>
    <w:rsid w:val="00E37BF3"/>
    <w:rsid w:val="00E44EEF"/>
    <w:rsid w:val="00E45AF2"/>
    <w:rsid w:val="00E4663C"/>
    <w:rsid w:val="00E469E0"/>
    <w:rsid w:val="00E50248"/>
    <w:rsid w:val="00E5046E"/>
    <w:rsid w:val="00E510D2"/>
    <w:rsid w:val="00E5112E"/>
    <w:rsid w:val="00E52357"/>
    <w:rsid w:val="00E52A96"/>
    <w:rsid w:val="00E52F26"/>
    <w:rsid w:val="00E54EFB"/>
    <w:rsid w:val="00E54F31"/>
    <w:rsid w:val="00E573E6"/>
    <w:rsid w:val="00E57B53"/>
    <w:rsid w:val="00E62840"/>
    <w:rsid w:val="00E62F1E"/>
    <w:rsid w:val="00E638CA"/>
    <w:rsid w:val="00E63DF7"/>
    <w:rsid w:val="00E658B4"/>
    <w:rsid w:val="00E7037E"/>
    <w:rsid w:val="00E70637"/>
    <w:rsid w:val="00E71511"/>
    <w:rsid w:val="00E737D1"/>
    <w:rsid w:val="00E73FD5"/>
    <w:rsid w:val="00E743CF"/>
    <w:rsid w:val="00E747D5"/>
    <w:rsid w:val="00E75986"/>
    <w:rsid w:val="00E76725"/>
    <w:rsid w:val="00E81CE5"/>
    <w:rsid w:val="00E91F11"/>
    <w:rsid w:val="00E92D87"/>
    <w:rsid w:val="00E94E5A"/>
    <w:rsid w:val="00E9520E"/>
    <w:rsid w:val="00E9556A"/>
    <w:rsid w:val="00E955AA"/>
    <w:rsid w:val="00E96EA1"/>
    <w:rsid w:val="00E97876"/>
    <w:rsid w:val="00EA0361"/>
    <w:rsid w:val="00EA08BB"/>
    <w:rsid w:val="00EA0E57"/>
    <w:rsid w:val="00EA1529"/>
    <w:rsid w:val="00EA26F5"/>
    <w:rsid w:val="00EA272D"/>
    <w:rsid w:val="00EA37B1"/>
    <w:rsid w:val="00EA695A"/>
    <w:rsid w:val="00EB26AD"/>
    <w:rsid w:val="00EB307E"/>
    <w:rsid w:val="00EB589C"/>
    <w:rsid w:val="00EB5FD7"/>
    <w:rsid w:val="00EB6F86"/>
    <w:rsid w:val="00EB6FFC"/>
    <w:rsid w:val="00EC03C1"/>
    <w:rsid w:val="00EC04AD"/>
    <w:rsid w:val="00EC190D"/>
    <w:rsid w:val="00EC254F"/>
    <w:rsid w:val="00EC337D"/>
    <w:rsid w:val="00EC35D3"/>
    <w:rsid w:val="00EC51C7"/>
    <w:rsid w:val="00EC59E0"/>
    <w:rsid w:val="00EC5E1E"/>
    <w:rsid w:val="00EC71B0"/>
    <w:rsid w:val="00EC7CDC"/>
    <w:rsid w:val="00ED0F97"/>
    <w:rsid w:val="00ED2EE2"/>
    <w:rsid w:val="00ED3373"/>
    <w:rsid w:val="00ED75D2"/>
    <w:rsid w:val="00EE0692"/>
    <w:rsid w:val="00EE5005"/>
    <w:rsid w:val="00EE50F4"/>
    <w:rsid w:val="00EE5AE4"/>
    <w:rsid w:val="00EE5CB9"/>
    <w:rsid w:val="00EF05B0"/>
    <w:rsid w:val="00EF05CA"/>
    <w:rsid w:val="00EF2002"/>
    <w:rsid w:val="00F02B92"/>
    <w:rsid w:val="00F02E9C"/>
    <w:rsid w:val="00F04053"/>
    <w:rsid w:val="00F1010F"/>
    <w:rsid w:val="00F10840"/>
    <w:rsid w:val="00F11BA3"/>
    <w:rsid w:val="00F12623"/>
    <w:rsid w:val="00F12EBF"/>
    <w:rsid w:val="00F16285"/>
    <w:rsid w:val="00F21700"/>
    <w:rsid w:val="00F22028"/>
    <w:rsid w:val="00F31946"/>
    <w:rsid w:val="00F31E7D"/>
    <w:rsid w:val="00F329E0"/>
    <w:rsid w:val="00F32D11"/>
    <w:rsid w:val="00F33B78"/>
    <w:rsid w:val="00F344B6"/>
    <w:rsid w:val="00F354D7"/>
    <w:rsid w:val="00F41B4C"/>
    <w:rsid w:val="00F42921"/>
    <w:rsid w:val="00F42D62"/>
    <w:rsid w:val="00F44F7D"/>
    <w:rsid w:val="00F450DB"/>
    <w:rsid w:val="00F46977"/>
    <w:rsid w:val="00F5207E"/>
    <w:rsid w:val="00F52105"/>
    <w:rsid w:val="00F52871"/>
    <w:rsid w:val="00F52905"/>
    <w:rsid w:val="00F54752"/>
    <w:rsid w:val="00F54992"/>
    <w:rsid w:val="00F5593B"/>
    <w:rsid w:val="00F55DA6"/>
    <w:rsid w:val="00F56550"/>
    <w:rsid w:val="00F61453"/>
    <w:rsid w:val="00F62F06"/>
    <w:rsid w:val="00F64259"/>
    <w:rsid w:val="00F70415"/>
    <w:rsid w:val="00F70DD9"/>
    <w:rsid w:val="00F73D63"/>
    <w:rsid w:val="00F73EF7"/>
    <w:rsid w:val="00F745AD"/>
    <w:rsid w:val="00F75FD9"/>
    <w:rsid w:val="00F77391"/>
    <w:rsid w:val="00F821EB"/>
    <w:rsid w:val="00F84692"/>
    <w:rsid w:val="00F84926"/>
    <w:rsid w:val="00F87AE7"/>
    <w:rsid w:val="00F87B47"/>
    <w:rsid w:val="00F87F9E"/>
    <w:rsid w:val="00F90CBD"/>
    <w:rsid w:val="00F91E5E"/>
    <w:rsid w:val="00F96BD2"/>
    <w:rsid w:val="00F97E47"/>
    <w:rsid w:val="00FA1437"/>
    <w:rsid w:val="00FA19A7"/>
    <w:rsid w:val="00FA2FCC"/>
    <w:rsid w:val="00FB17EB"/>
    <w:rsid w:val="00FB1FD4"/>
    <w:rsid w:val="00FB34CE"/>
    <w:rsid w:val="00FB79DA"/>
    <w:rsid w:val="00FC2807"/>
    <w:rsid w:val="00FC36AA"/>
    <w:rsid w:val="00FC3917"/>
    <w:rsid w:val="00FC4A9F"/>
    <w:rsid w:val="00FC5AF1"/>
    <w:rsid w:val="00FC7485"/>
    <w:rsid w:val="00FC783A"/>
    <w:rsid w:val="00FC7A65"/>
    <w:rsid w:val="00FD4CB6"/>
    <w:rsid w:val="00FD5C73"/>
    <w:rsid w:val="00FD769F"/>
    <w:rsid w:val="00FE1825"/>
    <w:rsid w:val="00FE36D0"/>
    <w:rsid w:val="00FE512C"/>
    <w:rsid w:val="00FE5D82"/>
    <w:rsid w:val="00FF0543"/>
    <w:rsid w:val="00FF0CBC"/>
    <w:rsid w:val="00FF0E20"/>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487442-E740-4A26-B386-00E3F76D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454026"/>
    <w:pPr>
      <w:keepNext/>
      <w:tabs>
        <w:tab w:val="clear" w:pos="851"/>
      </w:tabs>
      <w:spacing w:before="240" w:after="240"/>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paragraph" w:customStyle="1" w:styleId="NoteBullet0">
    <w:name w:val="Note Bullet 0"/>
    <w:basedOn w:val="NoteBullet"/>
    <w:qFormat/>
    <w:rsid w:val="00DF7F6C"/>
    <w:pPr>
      <w:ind w:left="425" w:hanging="425"/>
    </w:pPr>
  </w:style>
  <w:style w:type="paragraph" w:customStyle="1" w:styleId="Bullet0table">
    <w:name w:val="Bullet 0 (table)"/>
    <w:basedOn w:val="Bullet1"/>
    <w:qFormat/>
    <w:rsid w:val="00DF7F6C"/>
    <w:pPr>
      <w:ind w:left="425" w:hanging="425"/>
    </w:pPr>
  </w:style>
  <w:style w:type="paragraph" w:customStyle="1" w:styleId="table1">
    <w:name w:val="table1"/>
    <w:basedOn w:val="Normal"/>
    <w:rsid w:val="00C36AE6"/>
    <w:pPr>
      <w:tabs>
        <w:tab w:val="clear" w:pos="851"/>
      </w:tabs>
      <w:overflowPunct w:val="0"/>
      <w:autoSpaceDE w:val="0"/>
      <w:autoSpaceDN w:val="0"/>
      <w:adjustRightInd w:val="0"/>
      <w:spacing w:before="0" w:after="0"/>
      <w:jc w:val="both"/>
      <w:textAlignment w:val="baseline"/>
    </w:pPr>
    <w:rPr>
      <w:rFonts w:ascii="ClassGarmnd BT" w:hAnsi="ClassGarmnd BT"/>
      <w:szCs w:val="20"/>
      <w:lang w:val="en-GB"/>
    </w:rPr>
  </w:style>
  <w:style w:type="character" w:customStyle="1" w:styleId="FootnoteTextChar">
    <w:name w:val="Footnote Text Char"/>
    <w:link w:val="FootnoteText"/>
    <w:rsid w:val="00C36AE6"/>
    <w:rPr>
      <w:rFonts w:ascii="Arial" w:hAnsi="Arial"/>
      <w:lang w:eastAsia="en-US"/>
    </w:rPr>
  </w:style>
  <w:style w:type="paragraph" w:customStyle="1" w:styleId="NumberingLevel3">
    <w:name w:val="Numbering Level 3"/>
    <w:basedOn w:val="Normal"/>
    <w:qFormat/>
    <w:rsid w:val="00DF56C0"/>
    <w:pPr>
      <w:numPr>
        <w:numId w:val="65"/>
      </w:numPr>
      <w:tabs>
        <w:tab w:val="clear" w:pos="851"/>
      </w:tabs>
      <w:overflowPunct w:val="0"/>
      <w:autoSpaceDE w:val="0"/>
      <w:autoSpaceDN w:val="0"/>
      <w:adjustRightInd w:val="0"/>
      <w:textAlignment w:val="baseline"/>
    </w:pPr>
    <w:rPr>
      <w:rFonts w:ascii="Arial Narrow" w:hAnsi="Arial Narrow"/>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0B9B-77FE-4B48-99C2-07E12F0B4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ASX Listing Rules Appendix 4C - Quarterly report for entities subject to Listing Rule 4.7B</vt:lpstr>
    </vt:vector>
  </TitlesOfParts>
  <Company>ASX</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4C - Quarterly report for entities subject to Listing Rule 4.7B</dc:title>
  <dc:subject/>
  <dc:creator>ASX</dc:creator>
  <cp:keywords/>
  <dc:description/>
  <cp:lastModifiedBy>Josephine D'Aquino</cp:lastModifiedBy>
  <cp:revision>2</cp:revision>
  <cp:lastPrinted>2014-04-04T01:23:00Z</cp:lastPrinted>
  <dcterms:created xsi:type="dcterms:W3CDTF">2016-09-01T04:28:00Z</dcterms:created>
  <dcterms:modified xsi:type="dcterms:W3CDTF">2016-09-01T04:28:00Z</dcterms:modified>
</cp:coreProperties>
</file>