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24" w:rsidRPr="006F0F69" w:rsidRDefault="00902124" w:rsidP="00902124">
      <w:pPr>
        <w:jc w:val="right"/>
        <w:rPr>
          <w:i/>
        </w:rPr>
      </w:pPr>
      <w:bookmarkStart w:id="0" w:name="_GoBack"/>
      <w:bookmarkEnd w:id="0"/>
      <w:r w:rsidRPr="0089621A">
        <w:rPr>
          <w:i/>
        </w:rPr>
        <w:t>+</w:t>
      </w:r>
      <w:r w:rsidRPr="006F0F69">
        <w:rPr>
          <w:i/>
        </w:rPr>
        <w:t xml:space="preserve">Rule </w:t>
      </w:r>
      <w:r w:rsidR="006A0757">
        <w:rPr>
          <w:i/>
        </w:rPr>
        <w:t>5</w:t>
      </w:r>
      <w:r>
        <w:rPr>
          <w:i/>
        </w:rPr>
        <w:t>.</w:t>
      </w:r>
      <w:r w:rsidR="006A0757">
        <w:rPr>
          <w:i/>
        </w:rPr>
        <w:t>5</w:t>
      </w:r>
    </w:p>
    <w:p w:rsidR="004B6C11" w:rsidRDefault="00BF230A" w:rsidP="001C3A2B">
      <w:pPr>
        <w:pStyle w:val="TopHeading"/>
        <w:spacing w:before="240"/>
      </w:pPr>
      <w:r>
        <w:t xml:space="preserve">Appendix </w:t>
      </w:r>
      <w:r w:rsidR="007626E0">
        <w:t>5B</w:t>
      </w:r>
    </w:p>
    <w:p w:rsidR="004B6C11" w:rsidRDefault="007626E0" w:rsidP="00DD2AD7">
      <w:pPr>
        <w:pStyle w:val="TopHeading"/>
      </w:pPr>
      <w:r w:rsidRPr="007626E0">
        <w:t>Mining exploration entity and oil and gas exploration entity quarterly report</w:t>
      </w:r>
    </w:p>
    <w:p w:rsidR="00473C51" w:rsidRDefault="007626E0" w:rsidP="000D1699">
      <w:pPr>
        <w:pStyle w:val="Introduced0"/>
      </w:pPr>
      <w:r w:rsidRPr="007626E0">
        <w:t>Introduced 01/07/96  Origin Appendix 8  Amended 01/07/97, 01/07/98, 30/09/01, 01/06/10, 17/12/10, 01/05/13</w:t>
      </w:r>
      <w:r w:rsidR="000D1699">
        <w:t xml:space="preserve">, </w:t>
      </w:r>
      <w:r w:rsidR="00A27601">
        <w:t>01</w:t>
      </w:r>
      <w:r w:rsidR="000D1699">
        <w:t>/09/16</w:t>
      </w:r>
    </w:p>
    <w:p w:rsidR="000D1699" w:rsidRDefault="000D1699" w:rsidP="00473C51"/>
    <w:tbl>
      <w:tblPr>
        <w:tblW w:w="9072" w:type="dxa"/>
        <w:tblLayout w:type="fixed"/>
        <w:tblLook w:val="04A0" w:firstRow="1" w:lastRow="0" w:firstColumn="1" w:lastColumn="0" w:noHBand="0" w:noVBand="1"/>
      </w:tblPr>
      <w:tblGrid>
        <w:gridCol w:w="4293"/>
        <w:gridCol w:w="487"/>
        <w:gridCol w:w="4292"/>
      </w:tblGrid>
      <w:tr w:rsidR="00473C51" w:rsidRPr="00473C51" w:rsidTr="00267B13">
        <w:tc>
          <w:tcPr>
            <w:tcW w:w="9072" w:type="dxa"/>
            <w:gridSpan w:val="3"/>
            <w:tcBorders>
              <w:bottom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spacing w:before="60" w:after="60"/>
              <w:textAlignment w:val="baseline"/>
              <w:outlineLvl w:val="1"/>
              <w:rPr>
                <w:rFonts w:cs="Arial"/>
                <w:b/>
                <w:bCs/>
                <w:szCs w:val="20"/>
                <w:lang w:val="en-GB"/>
              </w:rPr>
            </w:pPr>
            <w:r w:rsidRPr="00473C51">
              <w:rPr>
                <w:rFonts w:cs="Arial"/>
                <w:b/>
                <w:bCs/>
                <w:szCs w:val="20"/>
                <w:lang w:val="en-GB"/>
              </w:rPr>
              <w:t>Name of entity</w:t>
            </w:r>
          </w:p>
        </w:tc>
      </w:tr>
      <w:tr w:rsidR="00473C51" w:rsidRPr="00473C51" w:rsidTr="00267B13">
        <w:tc>
          <w:tcPr>
            <w:tcW w:w="9072" w:type="dxa"/>
            <w:gridSpan w:val="3"/>
            <w:tcBorders>
              <w:top w:val="dotted" w:sz="4" w:space="0" w:color="auto"/>
              <w:left w:val="dotted" w:sz="4" w:space="0" w:color="auto"/>
              <w:bottom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r>
      <w:tr w:rsidR="00473C51" w:rsidRPr="00473C51" w:rsidTr="00267B13">
        <w:tc>
          <w:tcPr>
            <w:tcW w:w="4293" w:type="dxa"/>
            <w:tcBorders>
              <w:bottom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r w:rsidRPr="00473C51">
              <w:rPr>
                <w:rFonts w:cs="Arial"/>
                <w:b/>
                <w:bCs/>
                <w:szCs w:val="20"/>
                <w:lang w:val="en-GB"/>
              </w:rPr>
              <w:t>ABN</w:t>
            </w:r>
          </w:p>
        </w:tc>
        <w:tc>
          <w:tcPr>
            <w:tcW w:w="487" w:type="dxa"/>
            <w:shd w:val="clear" w:color="auto" w:fill="auto"/>
          </w:tcPr>
          <w:p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p>
        </w:tc>
        <w:tc>
          <w:tcPr>
            <w:tcW w:w="4292" w:type="dxa"/>
            <w:tcBorders>
              <w:bottom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r w:rsidRPr="00473C51">
              <w:rPr>
                <w:rFonts w:cs="Arial"/>
                <w:b/>
                <w:bCs/>
                <w:szCs w:val="20"/>
                <w:lang w:val="en-GB"/>
              </w:rPr>
              <w:t>Quarter ended (“current quarter”)</w:t>
            </w:r>
          </w:p>
        </w:tc>
      </w:tr>
      <w:tr w:rsidR="00473C51" w:rsidRPr="00473C51" w:rsidTr="00267B13">
        <w:tc>
          <w:tcPr>
            <w:tcW w:w="4293" w:type="dxa"/>
            <w:tcBorders>
              <w:top w:val="dotted" w:sz="4" w:space="0" w:color="auto"/>
              <w:left w:val="dotted" w:sz="4" w:space="0" w:color="auto"/>
              <w:bottom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c>
          <w:tcPr>
            <w:tcW w:w="487" w:type="dxa"/>
            <w:tcBorders>
              <w:left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c>
          <w:tcPr>
            <w:tcW w:w="4292" w:type="dxa"/>
            <w:tcBorders>
              <w:top w:val="dotted" w:sz="4" w:space="0" w:color="auto"/>
              <w:left w:val="dotted" w:sz="4" w:space="0" w:color="auto"/>
              <w:bottom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r>
    </w:tbl>
    <w:p w:rsidR="00473C51" w:rsidRDefault="00473C51" w:rsidP="00473C51"/>
    <w:tbl>
      <w:tblPr>
        <w:tblW w:w="9072" w:type="dxa"/>
        <w:tblLayout w:type="fixed"/>
        <w:tblCellMar>
          <w:left w:w="107" w:type="dxa"/>
          <w:right w:w="107" w:type="dxa"/>
        </w:tblCellMar>
        <w:tblLook w:val="0000" w:firstRow="0" w:lastRow="0" w:firstColumn="0" w:lastColumn="0" w:noHBand="0" w:noVBand="0"/>
      </w:tblPr>
      <w:tblGrid>
        <w:gridCol w:w="599"/>
        <w:gridCol w:w="110"/>
        <w:gridCol w:w="4086"/>
        <w:gridCol w:w="2098"/>
        <w:gridCol w:w="2179"/>
      </w:tblGrid>
      <w:tr w:rsidR="00DF56C0" w:rsidRPr="00DF56C0" w:rsidTr="00267B13">
        <w:trPr>
          <w:cantSplit/>
          <w:tblHeader/>
        </w:trPr>
        <w:tc>
          <w:tcPr>
            <w:tcW w:w="4795" w:type="dxa"/>
            <w:gridSpan w:val="3"/>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outlineLvl w:val="1"/>
              <w:rPr>
                <w:rFonts w:cs="Arial"/>
                <w:b/>
                <w:szCs w:val="20"/>
                <w:lang w:val="en-GB"/>
              </w:rPr>
            </w:pPr>
            <w:r w:rsidRPr="00DF56C0">
              <w:rPr>
                <w:rFonts w:cs="Arial"/>
                <w:b/>
                <w:sz w:val="24"/>
                <w:szCs w:val="20"/>
                <w:lang w:val="en-GB"/>
              </w:rPr>
              <w:t>Consolidated statement of cash flows</w:t>
            </w:r>
          </w:p>
        </w:tc>
        <w:tc>
          <w:tcPr>
            <w:tcW w:w="209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 $A’000</w:t>
            </w:r>
          </w:p>
        </w:tc>
        <w:tc>
          <w:tcPr>
            <w:tcW w:w="2179"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center"/>
              <w:textAlignment w:val="baseline"/>
              <w:rPr>
                <w:rFonts w:cs="Arial"/>
                <w:b/>
                <w:bCs/>
                <w:szCs w:val="20"/>
                <w:lang w:val="en-GB"/>
              </w:rPr>
            </w:pPr>
            <w:r w:rsidRPr="00DF56C0">
              <w:rPr>
                <w:rFonts w:cs="Arial"/>
                <w:b/>
                <w:bCs/>
                <w:szCs w:val="20"/>
                <w:lang w:val="fr-FR"/>
              </w:rPr>
              <w:t>Year to date (.......months)</w:t>
            </w:r>
            <w:r w:rsidRPr="00DF56C0">
              <w:rPr>
                <w:rFonts w:cs="Arial"/>
                <w:b/>
                <w:bCs/>
                <w:szCs w:val="20"/>
                <w:lang w:val="fr-FR"/>
              </w:rPr>
              <w:br/>
              <w:t>$A’000</w:t>
            </w:r>
          </w:p>
        </w:tc>
      </w:tr>
      <w:tr w:rsidR="00DF56C0" w:rsidRPr="00DF56C0" w:rsidTr="00267B13">
        <w:trPr>
          <w:cantSplit/>
        </w:trPr>
        <w:tc>
          <w:tcPr>
            <w:tcW w:w="599" w:type="dxa"/>
            <w:tcBorders>
              <w:top w:val="dotted" w:sz="4" w:space="0" w:color="auto"/>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1.</w:t>
            </w:r>
          </w:p>
        </w:tc>
        <w:tc>
          <w:tcPr>
            <w:tcW w:w="4196" w:type="dxa"/>
            <w:gridSpan w:val="2"/>
            <w:tcBorders>
              <w:top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b/>
                <w:bCs/>
                <w:sz w:val="22"/>
                <w:szCs w:val="20"/>
                <w:lang w:val="en-GB"/>
              </w:rPr>
            </w:pPr>
            <w:r w:rsidRPr="00DF56C0">
              <w:rPr>
                <w:rFonts w:cs="Arial"/>
                <w:b/>
                <w:bCs/>
                <w:sz w:val="22"/>
                <w:szCs w:val="20"/>
                <w:lang w:val="en-GB"/>
              </w:rPr>
              <w:t>Cash flows from operating activities</w:t>
            </w:r>
          </w:p>
        </w:tc>
        <w:tc>
          <w:tcPr>
            <w:tcW w:w="2098" w:type="dxa"/>
            <w:vMerge w:val="restart"/>
            <w:tcBorders>
              <w:top w:val="dotted" w:sz="4" w:space="0" w:color="auto"/>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val="restart"/>
            <w:tcBorders>
              <w:top w:val="dotted" w:sz="4" w:space="0" w:color="auto"/>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1.1</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Receipts from customers</w:t>
            </w:r>
          </w:p>
        </w:tc>
        <w:tc>
          <w:tcPr>
            <w:tcW w:w="2098"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1.2</w:t>
            </w:r>
          </w:p>
        </w:tc>
        <w:tc>
          <w:tcPr>
            <w:tcW w:w="4196" w:type="dxa"/>
            <w:gridSpan w:val="2"/>
            <w:tcBorders>
              <w:right w:val="dotted" w:sz="4" w:space="0" w:color="auto"/>
            </w:tcBorders>
          </w:tcPr>
          <w:p w:rsidR="00DF56C0" w:rsidRPr="00DF56C0" w:rsidRDefault="007626E0" w:rsidP="00DF56C0">
            <w:pPr>
              <w:tabs>
                <w:tab w:val="clear" w:pos="851"/>
              </w:tabs>
              <w:overflowPunct w:val="0"/>
              <w:autoSpaceDE w:val="0"/>
              <w:autoSpaceDN w:val="0"/>
              <w:adjustRightInd w:val="0"/>
              <w:spacing w:before="60" w:after="60"/>
              <w:textAlignment w:val="baseline"/>
              <w:rPr>
                <w:rFonts w:cs="Arial"/>
                <w:szCs w:val="20"/>
                <w:lang w:val="en-GB"/>
              </w:rPr>
            </w:pPr>
            <w:r>
              <w:rPr>
                <w:rFonts w:cs="Arial"/>
                <w:szCs w:val="20"/>
                <w:lang w:val="en-GB"/>
              </w:rPr>
              <w:t>Payments for</w:t>
            </w:r>
          </w:p>
        </w:tc>
        <w:tc>
          <w:tcPr>
            <w:tcW w:w="2098" w:type="dxa"/>
            <w:vMerge w:val="restart"/>
            <w:tcBorders>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val="restart"/>
            <w:tcBorders>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7626E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7626E0" w:rsidRPr="007626E0">
              <w:rPr>
                <w:rFonts w:cs="Arial"/>
                <w:szCs w:val="20"/>
                <w:lang w:val="en-GB"/>
              </w:rPr>
              <w:t>exploration &amp; evaluation</w:t>
            </w:r>
          </w:p>
        </w:tc>
        <w:tc>
          <w:tcPr>
            <w:tcW w:w="2098"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7626E0" w:rsidP="007626E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Pr="007626E0">
              <w:rPr>
                <w:rFonts w:cs="Arial"/>
                <w:szCs w:val="20"/>
                <w:lang w:val="en-GB"/>
              </w:rPr>
              <w:t>development</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7626E0" w:rsidP="007626E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Pr="007626E0">
              <w:rPr>
                <w:rFonts w:cs="Arial"/>
                <w:szCs w:val="20"/>
                <w:lang w:val="en-GB"/>
              </w:rPr>
              <w:t>production</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7626E0" w:rsidP="007626E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Pr="007626E0">
              <w:rPr>
                <w:rFonts w:cs="Arial"/>
                <w:szCs w:val="20"/>
                <w:lang w:val="en-GB"/>
              </w:rPr>
              <w:t>staff costs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7626E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Pr>
                <w:rFonts w:cs="Arial"/>
                <w:szCs w:val="20"/>
                <w:lang w:val="en-GB"/>
              </w:rPr>
              <w:tab/>
            </w:r>
            <w:r w:rsidRPr="007626E0">
              <w:rPr>
                <w:rFonts w:cs="Arial"/>
                <w:szCs w:val="20"/>
                <w:lang w:val="en-GB"/>
              </w:rPr>
              <w:t>administration and corporate costs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1.3</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received</w:t>
            </w:r>
            <w:r w:rsidRPr="00DF56C0">
              <w:rPr>
                <w:rFonts w:cs="Arial"/>
                <w:szCs w:val="20"/>
                <w:vertAlign w:val="superscript"/>
                <w:lang w:val="en-GB"/>
              </w:rPr>
              <w:t xml:space="preserve"> </w:t>
            </w:r>
            <w:r w:rsidRPr="00DF56C0">
              <w:rPr>
                <w:rFonts w:cs="Arial"/>
                <w:szCs w:val="20"/>
                <w:lang w:val="en-GB"/>
              </w:rPr>
              <w:t>(see note 3)</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1.4</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Interest received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1.5</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Interest and other costs of finance paid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1.6</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Income taxes paid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1.7</w:t>
            </w:r>
          </w:p>
        </w:tc>
        <w:tc>
          <w:tcPr>
            <w:tcW w:w="4196" w:type="dxa"/>
            <w:gridSpan w:val="2"/>
            <w:tcBorders>
              <w:right w:val="dotted" w:sz="4" w:space="0" w:color="auto"/>
            </w:tcBorders>
          </w:tcPr>
          <w:p w:rsidR="00DF56C0" w:rsidRPr="00DF56C0" w:rsidRDefault="00EC7424" w:rsidP="00DF56C0">
            <w:pPr>
              <w:tabs>
                <w:tab w:val="clear" w:pos="851"/>
              </w:tabs>
              <w:overflowPunct w:val="0"/>
              <w:autoSpaceDE w:val="0"/>
              <w:autoSpaceDN w:val="0"/>
              <w:adjustRightInd w:val="0"/>
              <w:spacing w:before="60" w:after="60"/>
              <w:textAlignment w:val="baseline"/>
              <w:rPr>
                <w:rFonts w:cs="Arial"/>
                <w:szCs w:val="20"/>
                <w:lang w:val="en-GB"/>
              </w:rPr>
            </w:pPr>
            <w:r w:rsidRPr="00EC7424">
              <w:rPr>
                <w:rFonts w:cs="Arial"/>
                <w:szCs w:val="20"/>
                <w:lang w:val="en-GB"/>
              </w:rPr>
              <w:t>Research and development refunds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1.8</w:t>
            </w:r>
          </w:p>
        </w:tc>
        <w:tc>
          <w:tcPr>
            <w:tcW w:w="4196" w:type="dxa"/>
            <w:gridSpan w:val="2"/>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bottom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1.9</w:t>
            </w:r>
          </w:p>
        </w:tc>
        <w:tc>
          <w:tcPr>
            <w:tcW w:w="4196" w:type="dxa"/>
            <w:gridSpan w:val="2"/>
            <w:tcBorders>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operating activities</w:t>
            </w:r>
          </w:p>
        </w:tc>
        <w:tc>
          <w:tcPr>
            <w:tcW w:w="2098"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r>
      <w:tr w:rsidR="00DF56C0" w:rsidRPr="00DF56C0" w:rsidTr="00267B13">
        <w:trPr>
          <w:cantSplit/>
        </w:trPr>
        <w:tc>
          <w:tcPr>
            <w:tcW w:w="9072" w:type="dxa"/>
            <w:gridSpan w:val="5"/>
            <w:tcBorders>
              <w:top w:val="dotted" w:sz="4" w:space="0" w:color="auto"/>
              <w:bottom w:val="dotted" w:sz="4" w:space="0" w:color="auto"/>
            </w:tcBorders>
          </w:tcPr>
          <w:p w:rsidR="00DF56C0" w:rsidRPr="00DF56C0" w:rsidRDefault="00DF56C0" w:rsidP="000D1699">
            <w:pPr>
              <w:rPr>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t>2.</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t>Cash flows from investing activities</w:t>
            </w:r>
          </w:p>
        </w:tc>
        <w:tc>
          <w:tcPr>
            <w:tcW w:w="2098"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2.1</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Payments to acquire:</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DF56C0" w:rsidRPr="00DF56C0">
              <w:rPr>
                <w:rFonts w:cs="Arial"/>
                <w:szCs w:val="20"/>
                <w:lang w:val="en-GB"/>
              </w:rPr>
              <w:t>property, plant and equipment</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EC7424">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00EC7424" w:rsidRPr="00EC7424">
              <w:rPr>
                <w:rFonts w:cs="Arial"/>
                <w:szCs w:val="20"/>
                <w:lang w:val="en-GB"/>
              </w:rPr>
              <w:t xml:space="preserve">tenements </w:t>
            </w:r>
            <w:r w:rsidR="00DF56C0" w:rsidRPr="00DF56C0">
              <w:rPr>
                <w:rFonts w:cs="Arial"/>
                <w:szCs w:val="20"/>
                <w:lang w:val="en-GB"/>
              </w:rPr>
              <w:t>(see item 10)</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00DF56C0" w:rsidRPr="00DF56C0">
              <w:rPr>
                <w:rFonts w:cs="Arial"/>
                <w:szCs w:val="20"/>
                <w:lang w:val="en-GB"/>
              </w:rPr>
              <w:t>investments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EC7424">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w:t>
            </w:r>
            <w:r w:rsidR="00EC7424">
              <w:rPr>
                <w:rFonts w:cs="Arial"/>
                <w:szCs w:val="20"/>
                <w:lang w:val="en-GB"/>
              </w:rPr>
              <w:t>d</w:t>
            </w:r>
            <w:r>
              <w:rPr>
                <w:rFonts w:cs="Arial"/>
                <w:szCs w:val="20"/>
                <w:lang w:val="en-GB"/>
              </w:rPr>
              <w:t>)</w:t>
            </w:r>
            <w:r>
              <w:rPr>
                <w:rFonts w:cs="Arial"/>
                <w:szCs w:val="20"/>
                <w:lang w:val="en-GB"/>
              </w:rPr>
              <w:tab/>
            </w:r>
            <w:r w:rsidR="00DF56C0" w:rsidRPr="00DF56C0">
              <w:rPr>
                <w:rFonts w:cs="Arial"/>
                <w:szCs w:val="20"/>
              </w:rPr>
              <w:t>other non-current assets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lastRenderedPageBreak/>
              <w:t>2.2</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 xml:space="preserve">Proceeds from </w:t>
            </w:r>
            <w:r w:rsidR="008B036D">
              <w:rPr>
                <w:rFonts w:cs="Arial"/>
                <w:szCs w:val="20"/>
                <w:lang w:val="en-GB"/>
              </w:rPr>
              <w:t xml:space="preserve">the </w:t>
            </w:r>
            <w:r w:rsidRPr="00DF56C0">
              <w:rPr>
                <w:rFonts w:cs="Arial"/>
                <w:szCs w:val="20"/>
                <w:lang w:val="en-GB"/>
              </w:rPr>
              <w:t>disposal of:</w:t>
            </w:r>
          </w:p>
        </w:tc>
        <w:tc>
          <w:tcPr>
            <w:tcW w:w="2098"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DF56C0" w:rsidRPr="00DF56C0">
              <w:rPr>
                <w:rFonts w:cs="Arial"/>
                <w:szCs w:val="20"/>
                <w:lang w:val="en-GB"/>
              </w:rPr>
              <w:t>property, plant and equipment</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EC7424">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00EC7424" w:rsidRPr="00EC7424">
              <w:rPr>
                <w:rFonts w:cs="Arial"/>
                <w:szCs w:val="20"/>
                <w:lang w:val="en-GB"/>
              </w:rPr>
              <w:t xml:space="preserve">tenements </w:t>
            </w:r>
            <w:r w:rsidR="00DF56C0" w:rsidRPr="00DF56C0">
              <w:rPr>
                <w:rFonts w:cs="Arial"/>
                <w:szCs w:val="20"/>
                <w:lang w:val="en-GB"/>
              </w:rPr>
              <w:t>(see item 10)</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00DF56C0" w:rsidRPr="00DF56C0">
              <w:rPr>
                <w:rFonts w:cs="Arial"/>
                <w:szCs w:val="20"/>
                <w:lang w:val="en-GB"/>
              </w:rPr>
              <w:t>investments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EC7424">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w:t>
            </w:r>
            <w:r w:rsidR="00EC7424">
              <w:rPr>
                <w:rFonts w:cs="Arial"/>
                <w:szCs w:val="20"/>
                <w:lang w:val="en-GB"/>
              </w:rPr>
              <w:t>d</w:t>
            </w:r>
            <w:r>
              <w:rPr>
                <w:rFonts w:cs="Arial"/>
                <w:szCs w:val="20"/>
                <w:lang w:val="en-GB"/>
              </w:rPr>
              <w:t>)</w:t>
            </w:r>
            <w:r>
              <w:rPr>
                <w:rFonts w:cs="Arial"/>
                <w:szCs w:val="20"/>
                <w:lang w:val="en-GB"/>
              </w:rPr>
              <w:tab/>
            </w:r>
            <w:r w:rsidR="00DF56C0" w:rsidRPr="00DF56C0">
              <w:rPr>
                <w:rFonts w:cs="Arial"/>
                <w:szCs w:val="20"/>
              </w:rPr>
              <w:t>other non-current assets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2.3</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Cash flows from loans to other entities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2.4</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received (see note 3)</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2.5</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gridSpan w:val="2"/>
            <w:tcBorders>
              <w:left w:val="dotted" w:sz="4" w:space="0" w:color="auto"/>
              <w:bottom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2.6</w:t>
            </w:r>
          </w:p>
        </w:tc>
        <w:tc>
          <w:tcPr>
            <w:tcW w:w="4086" w:type="dxa"/>
            <w:tcBorders>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investing activities</w:t>
            </w:r>
          </w:p>
        </w:tc>
        <w:tc>
          <w:tcPr>
            <w:tcW w:w="209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c>
          <w:tcPr>
            <w:tcW w:w="2179"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r>
      <w:tr w:rsidR="00DF56C0" w:rsidRPr="00DF56C0" w:rsidTr="00267B13">
        <w:trPr>
          <w:cantSplit/>
        </w:trPr>
        <w:tc>
          <w:tcPr>
            <w:tcW w:w="9072" w:type="dxa"/>
            <w:gridSpan w:val="5"/>
            <w:tcBorders>
              <w:top w:val="dotted" w:sz="4" w:space="0" w:color="auto"/>
              <w:bottom w:val="dotted" w:sz="4" w:space="0" w:color="auto"/>
            </w:tcBorders>
          </w:tcPr>
          <w:p w:rsidR="00DF56C0" w:rsidRPr="00DF56C0" w:rsidRDefault="00DF56C0" w:rsidP="000D1699">
            <w:pPr>
              <w:rPr>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br w:type="page"/>
            </w:r>
            <w:r w:rsidRPr="00DF56C0">
              <w:rPr>
                <w:rFonts w:cs="Arial"/>
                <w:b/>
                <w:sz w:val="22"/>
                <w:szCs w:val="20"/>
                <w:lang w:val="en-GB"/>
              </w:rPr>
              <w:br w:type="page"/>
            </w:r>
            <w:r w:rsidRPr="00DF56C0">
              <w:rPr>
                <w:rFonts w:cs="Arial"/>
                <w:b/>
                <w:sz w:val="22"/>
                <w:szCs w:val="20"/>
                <w:lang w:val="en-GB"/>
              </w:rPr>
              <w:br w:type="page"/>
              <w:t>3.</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rPr>
            </w:pPr>
            <w:r w:rsidRPr="00DF56C0">
              <w:rPr>
                <w:rFonts w:cs="Arial"/>
                <w:b/>
                <w:sz w:val="22"/>
                <w:szCs w:val="20"/>
                <w:lang w:val="en-GB"/>
              </w:rPr>
              <w:t>Cash flows from financing activities</w:t>
            </w:r>
          </w:p>
        </w:tc>
        <w:tc>
          <w:tcPr>
            <w:tcW w:w="2098"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3.1</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rPr>
            </w:pPr>
            <w:r w:rsidRPr="00DF56C0">
              <w:rPr>
                <w:rFonts w:cs="Arial"/>
                <w:szCs w:val="20"/>
                <w:lang w:val="en-GB"/>
              </w:rPr>
              <w:t>Proceeds from issues of shares</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Del="00AF304A"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3.2</w:t>
            </w:r>
          </w:p>
        </w:tc>
        <w:tc>
          <w:tcPr>
            <w:tcW w:w="4086" w:type="dxa"/>
            <w:tcBorders>
              <w:right w:val="dotted" w:sz="4" w:space="0" w:color="auto"/>
            </w:tcBorders>
          </w:tcPr>
          <w:p w:rsidR="00DF56C0" w:rsidRPr="00DF56C0" w:rsidDel="0045215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issue of convertible notes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3.3</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exercise of share options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3.4</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Transaction costs related to issues of shares, convertible notes or options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3.5</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borrowings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3.6</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Repayment of borrowings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3.7</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Transaction costs related to loans and borrowings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3.8</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paid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3.9</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bottom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3.10</w:t>
            </w:r>
          </w:p>
        </w:tc>
        <w:tc>
          <w:tcPr>
            <w:tcW w:w="4086" w:type="dxa"/>
            <w:tcBorders>
              <w:bottom w:val="dotted" w:sz="4" w:space="0" w:color="auto"/>
              <w:right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financing activities</w:t>
            </w:r>
          </w:p>
        </w:tc>
        <w:tc>
          <w:tcPr>
            <w:tcW w:w="2098" w:type="dxa"/>
            <w:tcBorders>
              <w:top w:val="dotted" w:sz="4" w:space="0" w:color="auto"/>
              <w:left w:val="dotted" w:sz="4" w:space="0" w:color="auto"/>
              <w:bottom w:val="dotted" w:sz="4" w:space="0" w:color="auto"/>
              <w:right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fr-FR"/>
              </w:rPr>
            </w:pPr>
          </w:p>
        </w:tc>
        <w:tc>
          <w:tcPr>
            <w:tcW w:w="2179" w:type="dxa"/>
            <w:tcBorders>
              <w:top w:val="dotted" w:sz="4" w:space="0" w:color="auto"/>
              <w:left w:val="dotted" w:sz="4" w:space="0" w:color="auto"/>
              <w:bottom w:val="dotted" w:sz="4" w:space="0" w:color="auto"/>
              <w:right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fr-FR"/>
              </w:rPr>
            </w:pPr>
          </w:p>
        </w:tc>
      </w:tr>
      <w:tr w:rsidR="00DF56C0" w:rsidRPr="00DF56C0" w:rsidTr="00267B13">
        <w:trPr>
          <w:cantSplit/>
        </w:trPr>
        <w:tc>
          <w:tcPr>
            <w:tcW w:w="9072" w:type="dxa"/>
            <w:gridSpan w:val="5"/>
            <w:tcBorders>
              <w:top w:val="dotted" w:sz="4" w:space="0" w:color="auto"/>
              <w:bottom w:val="dotted" w:sz="4" w:space="0" w:color="auto"/>
            </w:tcBorders>
            <w:shd w:val="clear" w:color="auto" w:fill="auto"/>
          </w:tcPr>
          <w:p w:rsidR="00DF56C0" w:rsidRPr="00DF56C0" w:rsidRDefault="00DF56C0" w:rsidP="000D1699">
            <w:pPr>
              <w:rPr>
                <w:lang w:val="en-GB"/>
              </w:rPr>
            </w:pPr>
          </w:p>
        </w:tc>
      </w:tr>
      <w:tr w:rsidR="00DF56C0" w:rsidRPr="00DF56C0" w:rsidTr="003A7CB5">
        <w:trPr>
          <w:cantSplit/>
        </w:trPr>
        <w:tc>
          <w:tcPr>
            <w:tcW w:w="709" w:type="dxa"/>
            <w:gridSpan w:val="2"/>
            <w:tcBorders>
              <w:top w:val="dotted" w:sz="4" w:space="0" w:color="auto"/>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4.</w:t>
            </w:r>
          </w:p>
        </w:tc>
        <w:tc>
          <w:tcPr>
            <w:tcW w:w="4086" w:type="dxa"/>
            <w:tcBorders>
              <w:top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both"/>
              <w:textAlignment w:val="baseline"/>
              <w:rPr>
                <w:rFonts w:cs="Arial"/>
                <w:b/>
                <w:bCs/>
                <w:sz w:val="22"/>
                <w:szCs w:val="20"/>
                <w:lang w:val="en-GB"/>
              </w:rPr>
            </w:pPr>
            <w:r w:rsidRPr="00DF56C0">
              <w:rPr>
                <w:rFonts w:cs="Arial"/>
                <w:b/>
                <w:bCs/>
                <w:sz w:val="22"/>
                <w:szCs w:val="20"/>
                <w:lang w:val="en-GB"/>
              </w:rPr>
              <w:t>Net increase / (decrease) in cash and cash equivalents for the period</w:t>
            </w:r>
          </w:p>
        </w:tc>
        <w:tc>
          <w:tcPr>
            <w:tcW w:w="2098" w:type="dxa"/>
            <w:vMerge w:val="restart"/>
            <w:tcBorders>
              <w:top w:val="dotted" w:sz="4" w:space="0" w:color="auto"/>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top w:val="dotted" w:sz="4" w:space="0" w:color="auto"/>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4.1</w:t>
            </w:r>
          </w:p>
        </w:tc>
        <w:tc>
          <w:tcPr>
            <w:tcW w:w="4086" w:type="dxa"/>
            <w:tcBorders>
              <w:right w:val="dotted" w:sz="4" w:space="0" w:color="auto"/>
            </w:tcBorders>
          </w:tcPr>
          <w:p w:rsidR="00DF56C0" w:rsidRPr="00DF56C0" w:rsidRDefault="00DF56C0" w:rsidP="00EC7424">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 xml:space="preserve">Cash and cash equivalents at beginning of </w:t>
            </w:r>
            <w:r w:rsidR="00EC7424">
              <w:rPr>
                <w:rFonts w:cs="Arial"/>
                <w:szCs w:val="20"/>
                <w:lang w:val="en-GB"/>
              </w:rPr>
              <w:t>period</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4.2</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operating activities (item 1.9 above)</w:t>
            </w:r>
          </w:p>
        </w:tc>
        <w:tc>
          <w:tcPr>
            <w:tcW w:w="209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4.3</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investing activities (item 2.6 above)</w:t>
            </w:r>
          </w:p>
        </w:tc>
        <w:tc>
          <w:tcPr>
            <w:tcW w:w="209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4.4</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financing activities (item 3.10 above)</w:t>
            </w:r>
          </w:p>
        </w:tc>
        <w:tc>
          <w:tcPr>
            <w:tcW w:w="209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4.5</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Effect of movement in exchange rates on cash held</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bottom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4.6</w:t>
            </w:r>
          </w:p>
        </w:tc>
        <w:tc>
          <w:tcPr>
            <w:tcW w:w="4086" w:type="dxa"/>
            <w:tcBorders>
              <w:bottom w:val="dotted" w:sz="4" w:space="0" w:color="auto"/>
              <w:right w:val="dotted" w:sz="4" w:space="0" w:color="auto"/>
            </w:tcBorders>
          </w:tcPr>
          <w:p w:rsidR="00DF56C0" w:rsidRPr="00DF56C0" w:rsidRDefault="00DF56C0" w:rsidP="008B036D">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 xml:space="preserve">Cash and cash equivalents at end of </w:t>
            </w:r>
            <w:r w:rsidR="008B036D">
              <w:rPr>
                <w:rFonts w:cs="Arial"/>
                <w:b/>
                <w:szCs w:val="20"/>
                <w:lang w:val="en-GB"/>
              </w:rPr>
              <w:t>period</w:t>
            </w:r>
          </w:p>
        </w:tc>
        <w:tc>
          <w:tcPr>
            <w:tcW w:w="209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b/>
                <w:szCs w:val="20"/>
                <w:lang w:val="fr-FR"/>
              </w:rPr>
            </w:pPr>
          </w:p>
        </w:tc>
        <w:tc>
          <w:tcPr>
            <w:tcW w:w="2179"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b/>
                <w:szCs w:val="20"/>
                <w:lang w:val="fr-FR"/>
              </w:rPr>
            </w:pPr>
          </w:p>
        </w:tc>
      </w:tr>
    </w:tbl>
    <w:p w:rsidR="00DF56C0" w:rsidRPr="00DF56C0" w:rsidRDefault="00DF56C0" w:rsidP="000D1699">
      <w:pPr>
        <w:rPr>
          <w:lang w:val="en-GB" w:eastAsia="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DF56C0" w:rsidRPr="00DF56C0" w:rsidTr="00267B13">
        <w:trPr>
          <w:cantSplit/>
        </w:trPr>
        <w:tc>
          <w:tcPr>
            <w:tcW w:w="709" w:type="dxa"/>
            <w:tcBorders>
              <w:top w:val="dotted" w:sz="4" w:space="0" w:color="auto"/>
              <w:left w:val="dotted" w:sz="4" w:space="0" w:color="auto"/>
              <w:bottom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Cs w:val="22"/>
                <w:lang w:val="en-GB"/>
              </w:rPr>
            </w:pPr>
            <w:r w:rsidRPr="00DF56C0">
              <w:rPr>
                <w:rFonts w:cs="Arial"/>
                <w:b/>
                <w:bCs/>
                <w:sz w:val="22"/>
                <w:szCs w:val="22"/>
                <w:lang w:val="en-GB"/>
              </w:rPr>
              <w:t>5.</w:t>
            </w:r>
          </w:p>
        </w:tc>
        <w:tc>
          <w:tcPr>
            <w:tcW w:w="4111" w:type="dxa"/>
            <w:tcBorders>
              <w:top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Cs w:val="22"/>
                <w:lang w:val="en-GB"/>
              </w:rPr>
            </w:pPr>
            <w:r w:rsidRPr="00DF56C0">
              <w:rPr>
                <w:rFonts w:cs="Arial"/>
                <w:b/>
                <w:sz w:val="22"/>
                <w:szCs w:val="22"/>
                <w:lang w:val="en-GB"/>
              </w:rPr>
              <w:t>Reconciliation of cash and cash equivalents</w:t>
            </w:r>
            <w:r w:rsidRPr="00DF56C0">
              <w:rPr>
                <w:rFonts w:cs="Arial"/>
                <w:b/>
                <w:szCs w:val="22"/>
                <w:lang w:val="en-GB"/>
              </w:rPr>
              <w:br/>
            </w:r>
            <w:r w:rsidRPr="00DF56C0">
              <w:rPr>
                <w:rFonts w:cs="Arial"/>
                <w:szCs w:val="22"/>
                <w:lang w:val="en-GB"/>
              </w:rPr>
              <w:t>at the end of the quarter (as shown in the consolidated statement of cash flows) to the related items in the accounts</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2"/>
                <w:lang w:val="fr-FR"/>
              </w:rPr>
            </w:pPr>
            <w:r w:rsidRPr="00DF56C0">
              <w:rPr>
                <w:rFonts w:cs="Arial"/>
                <w:b/>
                <w:bCs/>
                <w:szCs w:val="22"/>
                <w:lang w:val="fr-FR"/>
              </w:rPr>
              <w:t>Current quarter</w:t>
            </w:r>
            <w:r w:rsidRPr="00DF56C0">
              <w:rPr>
                <w:rFonts w:cs="Arial"/>
                <w:b/>
                <w:bCs/>
                <w:szCs w:val="22"/>
                <w:lang w:val="fr-FR"/>
              </w:rPr>
              <w:br/>
              <w:t>$A’000</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2"/>
                <w:lang w:val="fr-FR"/>
              </w:rPr>
            </w:pPr>
            <w:r w:rsidRPr="00DF56C0">
              <w:rPr>
                <w:rFonts w:cs="Arial"/>
                <w:b/>
                <w:bCs/>
                <w:szCs w:val="22"/>
                <w:lang w:val="fr-FR"/>
              </w:rPr>
              <w:t>Previous quarter</w:t>
            </w:r>
            <w:r w:rsidRPr="00DF56C0">
              <w:rPr>
                <w:rFonts w:cs="Arial"/>
                <w:b/>
                <w:bCs/>
                <w:szCs w:val="22"/>
                <w:lang w:val="fr-FR"/>
              </w:rPr>
              <w:br/>
              <w:t>$A’000</w:t>
            </w:r>
          </w:p>
        </w:tc>
      </w:tr>
      <w:tr w:rsidR="00DF56C0" w:rsidRPr="00DF56C0" w:rsidTr="00267B13">
        <w:trPr>
          <w:cantSplit/>
        </w:trPr>
        <w:tc>
          <w:tcPr>
            <w:tcW w:w="709" w:type="dxa"/>
            <w:tcBorders>
              <w:top w:val="dotted" w:sz="4" w:space="0" w:color="auto"/>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5.1</w:t>
            </w:r>
          </w:p>
        </w:tc>
        <w:tc>
          <w:tcPr>
            <w:tcW w:w="4111" w:type="dxa"/>
            <w:tcBorders>
              <w:top w:val="dotted" w:sz="4" w:space="0" w:color="auto"/>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Bank balances</w:t>
            </w:r>
          </w:p>
        </w:tc>
        <w:tc>
          <w:tcPr>
            <w:tcW w:w="2126" w:type="dxa"/>
            <w:tcBorders>
              <w:top w:val="dotted" w:sz="4" w:space="0" w:color="auto"/>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top w:val="dotted" w:sz="4" w:space="0" w:color="auto"/>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5.2</w:t>
            </w:r>
          </w:p>
        </w:tc>
        <w:tc>
          <w:tcPr>
            <w:tcW w:w="4111" w:type="dxa"/>
            <w:tcBorders>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Call deposits</w:t>
            </w: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5.3</w:t>
            </w:r>
          </w:p>
        </w:tc>
        <w:tc>
          <w:tcPr>
            <w:tcW w:w="4111"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Bank overdrafts</w:t>
            </w: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top w:val="nil"/>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5.4</w:t>
            </w:r>
          </w:p>
        </w:tc>
        <w:tc>
          <w:tcPr>
            <w:tcW w:w="4111" w:type="dxa"/>
            <w:tcBorders>
              <w:top w:val="nil"/>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Other (provide details)</w:t>
            </w:r>
          </w:p>
        </w:tc>
        <w:tc>
          <w:tcPr>
            <w:tcW w:w="2126"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top w:val="nil"/>
              <w:left w:val="dotted" w:sz="4" w:space="0" w:color="auto"/>
              <w:bottom w:val="dotted" w:sz="4" w:space="0" w:color="auto"/>
              <w:right w:val="nil"/>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2"/>
                <w:lang w:val="en-GB"/>
              </w:rPr>
            </w:pPr>
            <w:r w:rsidRPr="00DF56C0">
              <w:rPr>
                <w:rFonts w:cs="Arial"/>
                <w:b/>
                <w:szCs w:val="22"/>
                <w:lang w:val="en-GB"/>
              </w:rPr>
              <w:t>5.5</w:t>
            </w:r>
          </w:p>
        </w:tc>
        <w:tc>
          <w:tcPr>
            <w:tcW w:w="4111" w:type="dxa"/>
            <w:tcBorders>
              <w:top w:val="nil"/>
              <w:left w:val="nil"/>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2"/>
                <w:lang w:val="en-GB"/>
              </w:rPr>
            </w:pPr>
            <w:r w:rsidRPr="00DF56C0">
              <w:rPr>
                <w:rFonts w:cs="Arial"/>
                <w:b/>
                <w:szCs w:val="22"/>
                <w:lang w:val="en-GB"/>
              </w:rPr>
              <w:t>Cash and cash equivalents at end of quarter (should equal item 4.6 above)</w:t>
            </w:r>
          </w:p>
        </w:tc>
        <w:tc>
          <w:tcPr>
            <w:tcW w:w="2126"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color w:val="000000"/>
                <w:szCs w:val="22"/>
              </w:rPr>
            </w:pPr>
          </w:p>
        </w:tc>
        <w:tc>
          <w:tcPr>
            <w:tcW w:w="2126"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color w:val="000000"/>
                <w:szCs w:val="22"/>
              </w:rPr>
            </w:pPr>
          </w:p>
        </w:tc>
      </w:tr>
    </w:tbl>
    <w:p w:rsidR="00DF56C0" w:rsidRPr="00DF56C0" w:rsidRDefault="00DF56C0" w:rsidP="000D1699">
      <w:pPr>
        <w:rPr>
          <w:lang w:val="en-GB"/>
        </w:rPr>
      </w:pPr>
    </w:p>
    <w:tbl>
      <w:tblPr>
        <w:tblW w:w="9072" w:type="dxa"/>
        <w:tblLayout w:type="fixed"/>
        <w:tblLook w:val="0000" w:firstRow="0" w:lastRow="0" w:firstColumn="0" w:lastColumn="0" w:noHBand="0" w:noVBand="0"/>
      </w:tblPr>
      <w:tblGrid>
        <w:gridCol w:w="709"/>
        <w:gridCol w:w="6237"/>
        <w:gridCol w:w="2126"/>
      </w:tblGrid>
      <w:tr w:rsidR="00DF56C0" w:rsidRPr="00DF56C0" w:rsidTr="00267B13">
        <w:trPr>
          <w:cantSplit/>
        </w:trPr>
        <w:tc>
          <w:tcPr>
            <w:tcW w:w="709" w:type="dxa"/>
            <w:tcBorders>
              <w:lef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bookmarkStart w:id="1" w:name="_Toc378670161"/>
            <w:r w:rsidRPr="00DF56C0">
              <w:rPr>
                <w:rFonts w:cs="Arial"/>
                <w:b/>
                <w:bCs/>
                <w:sz w:val="22"/>
                <w:szCs w:val="20"/>
                <w:lang w:val="en-GB"/>
              </w:rPr>
              <w:t>6.</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Payments to directors of the entity and their associates</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w:t>
            </w:r>
            <w:r w:rsidRPr="00DF56C0">
              <w:rPr>
                <w:rFonts w:cs="Arial"/>
                <w:b/>
                <w:bCs/>
                <w:szCs w:val="20"/>
                <w:lang w:val="fr-FR"/>
              </w:rPr>
              <w:br/>
              <w:t>$A'000</w:t>
            </w: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6.1</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payments to these parties included in item 1.2</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6.2</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cash flow from loans to these parties included in item 2.3</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6.3</w:t>
            </w:r>
          </w:p>
        </w:tc>
        <w:tc>
          <w:tcPr>
            <w:tcW w:w="8363" w:type="dxa"/>
            <w:gridSpan w:val="2"/>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any explanation necessary to understand the transactions included in items 6.1 and 6.2</w:t>
            </w:r>
          </w:p>
        </w:tc>
      </w:tr>
      <w:tr w:rsidR="00DF56C0" w:rsidRPr="00DF56C0" w:rsidTr="00267B13">
        <w:trPr>
          <w:cantSplit/>
        </w:trPr>
        <w:tc>
          <w:tcPr>
            <w:tcW w:w="9072" w:type="dxa"/>
            <w:gridSpan w:val="3"/>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rsidR="00DF56C0" w:rsidRPr="00DF56C0" w:rsidRDefault="00DF56C0" w:rsidP="000D1699">
      <w:pPr>
        <w:rPr>
          <w:lang w:val="en-GB"/>
        </w:rPr>
      </w:pPr>
    </w:p>
    <w:tbl>
      <w:tblPr>
        <w:tblW w:w="9072" w:type="dxa"/>
        <w:tblLayout w:type="fixed"/>
        <w:tblLook w:val="0000" w:firstRow="0" w:lastRow="0" w:firstColumn="0" w:lastColumn="0" w:noHBand="0" w:noVBand="0"/>
      </w:tblPr>
      <w:tblGrid>
        <w:gridCol w:w="709"/>
        <w:gridCol w:w="6237"/>
        <w:gridCol w:w="2126"/>
      </w:tblGrid>
      <w:tr w:rsidR="00DF56C0" w:rsidRPr="00DF56C0" w:rsidTr="00267B13">
        <w:trPr>
          <w:cantSplit/>
        </w:trPr>
        <w:tc>
          <w:tcPr>
            <w:tcW w:w="709" w:type="dxa"/>
            <w:tcBorders>
              <w:lef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7.</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Payments to related entities of the entity and their associates</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w:t>
            </w:r>
            <w:r w:rsidRPr="00DF56C0">
              <w:rPr>
                <w:rFonts w:cs="Arial"/>
                <w:b/>
                <w:bCs/>
                <w:szCs w:val="20"/>
                <w:lang w:val="fr-FR"/>
              </w:rPr>
              <w:br/>
              <w:t>$A'000</w:t>
            </w: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7.1</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payments to these parties included in item 1.2</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7.2</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cash flow from loans to these parties included in item 2.3</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7.3</w:t>
            </w:r>
          </w:p>
        </w:tc>
        <w:tc>
          <w:tcPr>
            <w:tcW w:w="8363" w:type="dxa"/>
            <w:gridSpan w:val="2"/>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any explanation necessary to understand the transactions included in items 7.1 and 7.2</w:t>
            </w:r>
          </w:p>
        </w:tc>
      </w:tr>
      <w:tr w:rsidR="00DF56C0" w:rsidRPr="00DF56C0" w:rsidTr="00267B13">
        <w:trPr>
          <w:cantSplit/>
        </w:trPr>
        <w:tc>
          <w:tcPr>
            <w:tcW w:w="9072" w:type="dxa"/>
            <w:gridSpan w:val="3"/>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rsidR="00DF56C0" w:rsidRP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60"/>
        <w:gridCol w:w="2092"/>
      </w:tblGrid>
      <w:tr w:rsidR="00DF56C0" w:rsidRPr="00DF56C0" w:rsidTr="00810341">
        <w:trPr>
          <w:cantSplit/>
        </w:trPr>
        <w:tc>
          <w:tcPr>
            <w:tcW w:w="709" w:type="dxa"/>
            <w:tcBorders>
              <w:left w:val="nil"/>
            </w:tcBorders>
          </w:tcPr>
          <w:bookmarkEnd w:id="1"/>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lastRenderedPageBreak/>
              <w:t>8.</w:t>
            </w:r>
          </w:p>
        </w:tc>
        <w:tc>
          <w:tcPr>
            <w:tcW w:w="4111"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Cs w:val="20"/>
                <w:lang w:val="en-GB"/>
              </w:rPr>
            </w:pPr>
            <w:r w:rsidRPr="00DF56C0">
              <w:rPr>
                <w:rFonts w:cs="Arial"/>
                <w:b/>
                <w:sz w:val="22"/>
                <w:szCs w:val="20"/>
                <w:lang w:val="en-GB"/>
              </w:rPr>
              <w:t>Financing</w:t>
            </w:r>
            <w:r w:rsidRPr="00DF56C0">
              <w:rPr>
                <w:rFonts w:cs="Arial"/>
                <w:sz w:val="22"/>
                <w:szCs w:val="20"/>
                <w:lang w:val="en-GB"/>
              </w:rPr>
              <w:t xml:space="preserve"> </w:t>
            </w:r>
            <w:r w:rsidRPr="00DF56C0">
              <w:rPr>
                <w:rFonts w:cs="Arial"/>
                <w:b/>
                <w:sz w:val="22"/>
                <w:szCs w:val="20"/>
                <w:lang w:val="en-GB"/>
              </w:rPr>
              <w:t>facilities available</w:t>
            </w:r>
            <w:r w:rsidRPr="00DF56C0">
              <w:rPr>
                <w:rFonts w:cs="Arial"/>
                <w:sz w:val="22"/>
                <w:szCs w:val="20"/>
                <w:lang w:val="en-GB"/>
              </w:rPr>
              <w:br/>
            </w:r>
            <w:r w:rsidRPr="00DF56C0">
              <w:rPr>
                <w:rFonts w:cs="Arial"/>
                <w:i/>
                <w:szCs w:val="20"/>
                <w:lang w:val="en-GB"/>
              </w:rPr>
              <w:t>Add notes as necessary for an understanding of the position</w:t>
            </w:r>
          </w:p>
        </w:tc>
        <w:tc>
          <w:tcPr>
            <w:tcW w:w="2160"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Total facility amount at quarter end</w:t>
            </w:r>
            <w:r w:rsidRPr="00DF56C0">
              <w:rPr>
                <w:rFonts w:cs="Arial"/>
                <w:b/>
                <w:bCs/>
                <w:szCs w:val="20"/>
                <w:lang w:val="fr-FR"/>
              </w:rPr>
              <w:br/>
              <w:t xml:space="preserve">$A’000 </w:t>
            </w:r>
          </w:p>
        </w:tc>
        <w:tc>
          <w:tcPr>
            <w:tcW w:w="2092"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Amount drawn at quarter end</w:t>
            </w:r>
            <w:r w:rsidRPr="00DF56C0">
              <w:rPr>
                <w:rFonts w:cs="Arial"/>
                <w:b/>
                <w:bCs/>
                <w:szCs w:val="20"/>
                <w:lang w:val="fr-FR"/>
              </w:rPr>
              <w:br/>
              <w:t>$A’000</w:t>
            </w:r>
          </w:p>
        </w:tc>
      </w:tr>
      <w:tr w:rsidR="00DF56C0" w:rsidRPr="00DF56C0" w:rsidTr="00810341">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8.1</w:t>
            </w:r>
          </w:p>
        </w:tc>
        <w:tc>
          <w:tcPr>
            <w:tcW w:w="4111"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Loan facilities</w:t>
            </w:r>
          </w:p>
        </w:tc>
        <w:tc>
          <w:tcPr>
            <w:tcW w:w="2160"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c>
          <w:tcPr>
            <w:tcW w:w="2092"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810341">
        <w:trPr>
          <w:cantSplit/>
        </w:trPr>
        <w:tc>
          <w:tcPr>
            <w:tcW w:w="709" w:type="dxa"/>
            <w:tcBorders>
              <w:top w:val="nil"/>
              <w:left w:val="nil"/>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8.2</w:t>
            </w:r>
          </w:p>
        </w:tc>
        <w:tc>
          <w:tcPr>
            <w:tcW w:w="4111"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Credit standby arrangements</w:t>
            </w:r>
          </w:p>
        </w:tc>
        <w:tc>
          <w:tcPr>
            <w:tcW w:w="2160"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c>
          <w:tcPr>
            <w:tcW w:w="2092"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810341">
        <w:trPr>
          <w:cantSplit/>
        </w:trPr>
        <w:tc>
          <w:tcPr>
            <w:tcW w:w="709" w:type="dxa"/>
            <w:tcBorders>
              <w:top w:val="nil"/>
              <w:left w:val="nil"/>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8.3</w:t>
            </w:r>
          </w:p>
        </w:tc>
        <w:tc>
          <w:tcPr>
            <w:tcW w:w="4111"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(please specify)</w:t>
            </w:r>
          </w:p>
        </w:tc>
        <w:tc>
          <w:tcPr>
            <w:tcW w:w="2160"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c>
          <w:tcPr>
            <w:tcW w:w="2092"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blPrEx>
          <w:tblCellMar>
            <w:left w:w="108" w:type="dxa"/>
            <w:right w:w="108" w:type="dxa"/>
          </w:tblCellMar>
        </w:tblPrEx>
        <w:trPr>
          <w:cantSplit/>
        </w:trPr>
        <w:tc>
          <w:tcPr>
            <w:tcW w:w="709" w:type="dxa"/>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8.4</w:t>
            </w:r>
          </w:p>
        </w:tc>
        <w:tc>
          <w:tcPr>
            <w:tcW w:w="8363" w:type="dxa"/>
            <w:gridSpan w:val="3"/>
            <w:tcBorders>
              <w:left w:val="nil"/>
              <w:bottom w:val="dotted" w:sz="4" w:space="0" w:color="auto"/>
              <w:right w:val="nil"/>
            </w:tcBorders>
          </w:tcPr>
          <w:p w:rsidR="00DF56C0" w:rsidRPr="00DF56C0" w:rsidRDefault="00730C32" w:rsidP="00DF56C0">
            <w:pPr>
              <w:keepNext/>
              <w:tabs>
                <w:tab w:val="clear" w:pos="851"/>
              </w:tabs>
              <w:overflowPunct w:val="0"/>
              <w:autoSpaceDE w:val="0"/>
              <w:autoSpaceDN w:val="0"/>
              <w:adjustRightInd w:val="0"/>
              <w:spacing w:before="60" w:after="60"/>
              <w:textAlignment w:val="baseline"/>
              <w:rPr>
                <w:rFonts w:cs="Arial"/>
                <w:szCs w:val="20"/>
                <w:lang w:val="en-GB"/>
              </w:rPr>
            </w:pPr>
            <w:r w:rsidRPr="00730C32">
              <w:rPr>
                <w:rFonts w:cs="Arial"/>
                <w:szCs w:val="20"/>
                <w:lang w:val="en-GB"/>
              </w:rPr>
              <w:t>Include below a description of each facility above, including the lender, interest rate and whether it is secured or unsecured. If any additional facilities have been entered into or are proposed to be entered into after quarter end, include details of those facilities as well</w:t>
            </w:r>
            <w:r w:rsidR="00DF56C0" w:rsidRPr="00DF56C0">
              <w:rPr>
                <w:rFonts w:cs="Arial"/>
                <w:szCs w:val="20"/>
                <w:lang w:val="en-GB"/>
              </w:rPr>
              <w:t>.</w:t>
            </w:r>
          </w:p>
        </w:tc>
      </w:tr>
      <w:tr w:rsidR="00DF56C0" w:rsidRPr="00DF56C0" w:rsidTr="00267B13">
        <w:tblPrEx>
          <w:tblCellMar>
            <w:left w:w="108" w:type="dxa"/>
            <w:right w:w="108" w:type="dxa"/>
          </w:tblCellMar>
        </w:tblPrEx>
        <w:trPr>
          <w:cantSplit/>
        </w:trPr>
        <w:tc>
          <w:tcPr>
            <w:tcW w:w="9072" w:type="dxa"/>
            <w:gridSpan w:val="4"/>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rsidR="00DF56C0" w:rsidRP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09"/>
        <w:gridCol w:w="5025"/>
        <w:gridCol w:w="3338"/>
      </w:tblGrid>
      <w:tr w:rsidR="00DF56C0" w:rsidRPr="00DF56C0" w:rsidTr="00267B13">
        <w:trPr>
          <w:cantSplit/>
        </w:trPr>
        <w:tc>
          <w:tcPr>
            <w:tcW w:w="709" w:type="dxa"/>
            <w:tcBorders>
              <w:top w:val="dotted" w:sz="4" w:space="0" w:color="auto"/>
              <w:left w:val="dotted" w:sz="4" w:space="0" w:color="auto"/>
              <w:bottom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9.</w:t>
            </w:r>
          </w:p>
        </w:tc>
        <w:tc>
          <w:tcPr>
            <w:tcW w:w="5025" w:type="dxa"/>
            <w:tcBorders>
              <w:top w:val="dotted" w:sz="4" w:space="0" w:color="auto"/>
              <w:left w:val="nil"/>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Estimated cash outflows for next quarter</w:t>
            </w:r>
          </w:p>
        </w:tc>
        <w:tc>
          <w:tcPr>
            <w:tcW w:w="333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DF56C0">
              <w:rPr>
                <w:rFonts w:cs="Arial"/>
                <w:b/>
                <w:bCs/>
                <w:szCs w:val="20"/>
                <w:lang w:val="fr-FR"/>
              </w:rPr>
              <w:t>$A’000</w:t>
            </w:r>
          </w:p>
        </w:tc>
      </w:tr>
      <w:tr w:rsidR="00DF56C0" w:rsidRPr="00DF56C0" w:rsidTr="00267B13">
        <w:trPr>
          <w:cantSplit/>
        </w:trPr>
        <w:tc>
          <w:tcPr>
            <w:tcW w:w="709" w:type="dxa"/>
            <w:tcBorders>
              <w:top w:val="dotted" w:sz="4" w:space="0" w:color="auto"/>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9.1</w:t>
            </w:r>
          </w:p>
        </w:tc>
        <w:tc>
          <w:tcPr>
            <w:tcW w:w="5025" w:type="dxa"/>
            <w:tcBorders>
              <w:top w:val="dotted" w:sz="4" w:space="0" w:color="auto"/>
              <w:left w:val="nil"/>
              <w:bottom w:val="nil"/>
              <w:right w:val="dotted" w:sz="4" w:space="0" w:color="auto"/>
            </w:tcBorders>
          </w:tcPr>
          <w:p w:rsidR="00DF56C0" w:rsidRPr="00DF56C0" w:rsidRDefault="00452357" w:rsidP="00DF56C0">
            <w:pPr>
              <w:keepNext/>
              <w:tabs>
                <w:tab w:val="clear" w:pos="851"/>
              </w:tabs>
              <w:overflowPunct w:val="0"/>
              <w:autoSpaceDE w:val="0"/>
              <w:autoSpaceDN w:val="0"/>
              <w:adjustRightInd w:val="0"/>
              <w:spacing w:before="60" w:after="60"/>
              <w:textAlignment w:val="baseline"/>
              <w:rPr>
                <w:rFonts w:cs="Arial"/>
                <w:szCs w:val="20"/>
                <w:lang w:val="en-GB"/>
              </w:rPr>
            </w:pPr>
            <w:r w:rsidRPr="00452357">
              <w:rPr>
                <w:rFonts w:cs="Arial"/>
                <w:szCs w:val="20"/>
                <w:lang w:val="en-GB"/>
              </w:rPr>
              <w:t>Exploration and evaluation</w:t>
            </w:r>
          </w:p>
        </w:tc>
        <w:tc>
          <w:tcPr>
            <w:tcW w:w="3338" w:type="dxa"/>
            <w:tcBorders>
              <w:top w:val="dotted" w:sz="4" w:space="0" w:color="auto"/>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9.2</w:t>
            </w:r>
          </w:p>
        </w:tc>
        <w:tc>
          <w:tcPr>
            <w:tcW w:w="5025" w:type="dxa"/>
            <w:tcBorders>
              <w:top w:val="nil"/>
              <w:left w:val="nil"/>
              <w:bottom w:val="nil"/>
              <w:right w:val="dotted" w:sz="4" w:space="0" w:color="auto"/>
            </w:tcBorders>
          </w:tcPr>
          <w:p w:rsidR="00DF56C0" w:rsidRPr="00DF56C0" w:rsidRDefault="00452357" w:rsidP="00DF56C0">
            <w:pPr>
              <w:keepNext/>
              <w:tabs>
                <w:tab w:val="clear" w:pos="851"/>
              </w:tabs>
              <w:overflowPunct w:val="0"/>
              <w:autoSpaceDE w:val="0"/>
              <w:autoSpaceDN w:val="0"/>
              <w:adjustRightInd w:val="0"/>
              <w:spacing w:before="60" w:after="60"/>
              <w:textAlignment w:val="baseline"/>
              <w:rPr>
                <w:rFonts w:cs="Arial"/>
                <w:szCs w:val="20"/>
                <w:lang w:val="en-GB"/>
              </w:rPr>
            </w:pPr>
            <w:r w:rsidRPr="00452357">
              <w:rPr>
                <w:rFonts w:cs="Arial"/>
                <w:szCs w:val="20"/>
                <w:lang w:val="en-GB"/>
              </w:rPr>
              <w:t>Development</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9.3</w:t>
            </w:r>
          </w:p>
        </w:tc>
        <w:tc>
          <w:tcPr>
            <w:tcW w:w="5025" w:type="dxa"/>
            <w:tcBorders>
              <w:top w:val="nil"/>
              <w:left w:val="nil"/>
              <w:bottom w:val="nil"/>
              <w:right w:val="dotted" w:sz="4" w:space="0" w:color="auto"/>
            </w:tcBorders>
          </w:tcPr>
          <w:p w:rsidR="00DF56C0" w:rsidRPr="00DF56C0" w:rsidRDefault="00452357" w:rsidP="00DF56C0">
            <w:pPr>
              <w:keepNext/>
              <w:tabs>
                <w:tab w:val="clear" w:pos="851"/>
              </w:tabs>
              <w:overflowPunct w:val="0"/>
              <w:autoSpaceDE w:val="0"/>
              <w:autoSpaceDN w:val="0"/>
              <w:adjustRightInd w:val="0"/>
              <w:spacing w:before="60" w:after="60"/>
              <w:textAlignment w:val="baseline"/>
              <w:rPr>
                <w:rFonts w:cs="Arial"/>
                <w:szCs w:val="20"/>
                <w:lang w:val="en-GB"/>
              </w:rPr>
            </w:pPr>
            <w:r w:rsidRPr="00452357">
              <w:rPr>
                <w:rFonts w:cs="Arial"/>
                <w:szCs w:val="20"/>
                <w:lang w:val="en-GB"/>
              </w:rPr>
              <w:t>Production</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right w:val="nil"/>
            </w:tcBorders>
          </w:tcPr>
          <w:p w:rsidR="00DF56C0" w:rsidRPr="00DF56C0" w:rsidRDefault="00DF56C0" w:rsidP="00452357">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w:t>
            </w:r>
            <w:r w:rsidR="00452357">
              <w:rPr>
                <w:rFonts w:cs="Arial"/>
                <w:szCs w:val="20"/>
                <w:lang w:val="en-GB"/>
              </w:rPr>
              <w:t>4</w:t>
            </w:r>
          </w:p>
        </w:tc>
        <w:tc>
          <w:tcPr>
            <w:tcW w:w="5025" w:type="dxa"/>
            <w:tcBorders>
              <w:top w:val="nil"/>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Staff costs</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left w:val="dotted" w:sz="4" w:space="0" w:color="auto"/>
              <w:right w:val="nil"/>
            </w:tcBorders>
          </w:tcPr>
          <w:p w:rsidR="00DF56C0" w:rsidRPr="00DF56C0" w:rsidRDefault="00DF56C0" w:rsidP="00452357">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w:t>
            </w:r>
            <w:r w:rsidR="00452357">
              <w:rPr>
                <w:rFonts w:cs="Arial"/>
                <w:szCs w:val="20"/>
                <w:lang w:val="en-GB"/>
              </w:rPr>
              <w:t>5</w:t>
            </w:r>
          </w:p>
        </w:tc>
        <w:tc>
          <w:tcPr>
            <w:tcW w:w="5025"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Administration and corporate costs</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left w:val="dotted" w:sz="4" w:space="0" w:color="auto"/>
              <w:right w:val="nil"/>
            </w:tcBorders>
          </w:tcPr>
          <w:p w:rsidR="00DF56C0" w:rsidRPr="00DF56C0" w:rsidRDefault="00DF56C0" w:rsidP="00452357">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w:t>
            </w:r>
            <w:r w:rsidR="00452357">
              <w:rPr>
                <w:rFonts w:cs="Arial"/>
                <w:szCs w:val="20"/>
                <w:lang w:val="en-GB"/>
              </w:rPr>
              <w:t>6</w:t>
            </w:r>
          </w:p>
        </w:tc>
        <w:tc>
          <w:tcPr>
            <w:tcW w:w="5025"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333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left w:val="dotted" w:sz="4" w:space="0" w:color="auto"/>
              <w:bottom w:val="dotted" w:sz="4" w:space="0" w:color="auto"/>
              <w:right w:val="nil"/>
            </w:tcBorders>
          </w:tcPr>
          <w:p w:rsidR="00DF56C0" w:rsidRPr="00DF56C0" w:rsidRDefault="00DF56C0" w:rsidP="00452357">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9.</w:t>
            </w:r>
            <w:r w:rsidR="00452357">
              <w:rPr>
                <w:rFonts w:cs="Arial"/>
                <w:b/>
                <w:szCs w:val="20"/>
                <w:lang w:val="en-GB"/>
              </w:rPr>
              <w:t>7</w:t>
            </w:r>
          </w:p>
        </w:tc>
        <w:tc>
          <w:tcPr>
            <w:tcW w:w="5025" w:type="dxa"/>
            <w:tcBorders>
              <w:left w:val="nil"/>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Total estimated cash outflows</w:t>
            </w:r>
          </w:p>
        </w:tc>
        <w:tc>
          <w:tcPr>
            <w:tcW w:w="333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color w:val="000000"/>
                <w:szCs w:val="20"/>
              </w:rPr>
            </w:pPr>
          </w:p>
        </w:tc>
      </w:tr>
    </w:tbl>
    <w:p w:rsid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24"/>
        <w:gridCol w:w="2200"/>
        <w:gridCol w:w="1234"/>
        <w:gridCol w:w="2470"/>
        <w:gridCol w:w="1288"/>
        <w:gridCol w:w="1156"/>
      </w:tblGrid>
      <w:tr w:rsidR="00452357" w:rsidRPr="00452357" w:rsidTr="00452357">
        <w:trPr>
          <w:cantSplit/>
        </w:trPr>
        <w:tc>
          <w:tcPr>
            <w:tcW w:w="724" w:type="dxa"/>
            <w:tcBorders>
              <w:top w:val="dotted" w:sz="4" w:space="0" w:color="auto"/>
              <w:left w:val="dotted" w:sz="4" w:space="0" w:color="auto"/>
              <w:bottom w:val="dotted" w:sz="4" w:space="0" w:color="auto"/>
              <w:right w:val="nil"/>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b/>
                <w:color w:val="000000"/>
                <w:szCs w:val="20"/>
                <w:lang w:eastAsia="en-AU"/>
              </w:rPr>
            </w:pPr>
            <w:r w:rsidRPr="00452357">
              <w:rPr>
                <w:rFonts w:cs="Arial"/>
                <w:b/>
                <w:color w:val="000000"/>
                <w:szCs w:val="20"/>
                <w:lang w:eastAsia="en-AU"/>
              </w:rPr>
              <w:t>10.</w:t>
            </w:r>
          </w:p>
        </w:tc>
        <w:tc>
          <w:tcPr>
            <w:tcW w:w="2200" w:type="dxa"/>
            <w:tcBorders>
              <w:top w:val="dotted" w:sz="4" w:space="0" w:color="auto"/>
              <w:left w:val="nil"/>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b/>
                <w:color w:val="000000"/>
                <w:szCs w:val="20"/>
                <w:lang w:eastAsia="en-AU"/>
              </w:rPr>
            </w:pPr>
            <w:r w:rsidRPr="00452357">
              <w:rPr>
                <w:rFonts w:cs="Arial"/>
                <w:b/>
                <w:color w:val="000000"/>
                <w:szCs w:val="20"/>
              </w:rPr>
              <w:t>Changes in tenements</w:t>
            </w:r>
            <w:r w:rsidRPr="00452357">
              <w:rPr>
                <w:rFonts w:cs="Arial"/>
                <w:b/>
                <w:color w:val="000000"/>
                <w:szCs w:val="20"/>
              </w:rPr>
              <w:br/>
            </w:r>
            <w:r w:rsidRPr="00452357">
              <w:rPr>
                <w:rFonts w:cs="Arial"/>
                <w:b/>
                <w:color w:val="000000"/>
                <w:szCs w:val="20"/>
                <w:lang w:eastAsia="en-AU"/>
              </w:rPr>
              <w:t>(items 2.1(b) and 2.2(b) above)</w:t>
            </w:r>
          </w:p>
        </w:tc>
        <w:tc>
          <w:tcPr>
            <w:tcW w:w="1234"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b/>
                <w:color w:val="000000"/>
                <w:szCs w:val="20"/>
                <w:lang w:eastAsia="en-AU"/>
              </w:rPr>
            </w:pPr>
            <w:r w:rsidRPr="00452357">
              <w:rPr>
                <w:rFonts w:cs="Arial"/>
                <w:b/>
                <w:color w:val="000000"/>
                <w:szCs w:val="20"/>
                <w:lang w:eastAsia="en-AU"/>
              </w:rPr>
              <w:t>Tenement reference and location</w:t>
            </w:r>
          </w:p>
        </w:tc>
        <w:tc>
          <w:tcPr>
            <w:tcW w:w="2470"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b/>
                <w:color w:val="000000"/>
                <w:szCs w:val="20"/>
                <w:lang w:eastAsia="en-AU"/>
              </w:rPr>
            </w:pPr>
            <w:r w:rsidRPr="00452357">
              <w:rPr>
                <w:rFonts w:cs="Arial"/>
                <w:b/>
                <w:color w:val="000000"/>
                <w:szCs w:val="20"/>
                <w:lang w:eastAsia="en-AU"/>
              </w:rPr>
              <w:t>Nature of interest</w:t>
            </w:r>
          </w:p>
        </w:tc>
        <w:tc>
          <w:tcPr>
            <w:tcW w:w="1288"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b/>
                <w:color w:val="000000"/>
                <w:szCs w:val="20"/>
                <w:lang w:eastAsia="en-AU"/>
              </w:rPr>
            </w:pPr>
            <w:r w:rsidRPr="00452357">
              <w:rPr>
                <w:rFonts w:cs="Arial"/>
                <w:b/>
                <w:color w:val="000000"/>
                <w:szCs w:val="20"/>
                <w:lang w:eastAsia="en-AU"/>
              </w:rPr>
              <w:t>Interest at beginning of quarter</w:t>
            </w:r>
          </w:p>
        </w:tc>
        <w:tc>
          <w:tcPr>
            <w:tcW w:w="1156"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b/>
                <w:color w:val="000000"/>
                <w:szCs w:val="20"/>
                <w:lang w:eastAsia="en-AU"/>
              </w:rPr>
            </w:pPr>
            <w:r w:rsidRPr="00452357">
              <w:rPr>
                <w:rFonts w:cs="Arial"/>
                <w:b/>
                <w:color w:val="000000"/>
                <w:szCs w:val="20"/>
                <w:lang w:eastAsia="en-AU"/>
              </w:rPr>
              <w:t>Interest at end of quarter</w:t>
            </w:r>
          </w:p>
        </w:tc>
      </w:tr>
      <w:tr w:rsidR="00452357" w:rsidRPr="00452357" w:rsidTr="00452357">
        <w:trPr>
          <w:cantSplit/>
        </w:trPr>
        <w:tc>
          <w:tcPr>
            <w:tcW w:w="724" w:type="dxa"/>
            <w:tcBorders>
              <w:top w:val="dotted" w:sz="4" w:space="0" w:color="auto"/>
              <w:left w:val="dotted" w:sz="4" w:space="0" w:color="auto"/>
              <w:bottom w:val="dotted" w:sz="4" w:space="0" w:color="auto"/>
              <w:right w:val="nil"/>
            </w:tcBorders>
          </w:tcPr>
          <w:p w:rsidR="00452357" w:rsidRPr="00452357" w:rsidRDefault="00452357" w:rsidP="00452357">
            <w:pPr>
              <w:keepNext/>
              <w:tabs>
                <w:tab w:val="clear" w:pos="851"/>
              </w:tabs>
              <w:overflowPunct w:val="0"/>
              <w:autoSpaceDE w:val="0"/>
              <w:autoSpaceDN w:val="0"/>
              <w:adjustRightInd w:val="0"/>
              <w:spacing w:before="60" w:after="60"/>
              <w:jc w:val="both"/>
              <w:textAlignment w:val="baseline"/>
              <w:rPr>
                <w:rFonts w:cs="Arial"/>
                <w:color w:val="000000"/>
                <w:szCs w:val="20"/>
                <w:lang w:eastAsia="en-AU"/>
              </w:rPr>
            </w:pPr>
            <w:r w:rsidRPr="00452357">
              <w:rPr>
                <w:rFonts w:cs="Arial"/>
                <w:color w:val="000000"/>
                <w:szCs w:val="20"/>
                <w:lang w:eastAsia="en-AU"/>
              </w:rPr>
              <w:t>10.1</w:t>
            </w:r>
          </w:p>
        </w:tc>
        <w:tc>
          <w:tcPr>
            <w:tcW w:w="2200" w:type="dxa"/>
            <w:tcBorders>
              <w:top w:val="dotted" w:sz="4" w:space="0" w:color="auto"/>
              <w:left w:val="nil"/>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textAlignment w:val="baseline"/>
              <w:rPr>
                <w:rFonts w:cs="Arial"/>
                <w:color w:val="000000"/>
                <w:szCs w:val="20"/>
                <w:lang w:eastAsia="en-AU"/>
              </w:rPr>
            </w:pPr>
            <w:r w:rsidRPr="00452357">
              <w:rPr>
                <w:rFonts w:cs="Arial"/>
                <w:color w:val="000000"/>
                <w:szCs w:val="20"/>
                <w:lang w:eastAsia="en-AU"/>
              </w:rPr>
              <w:t>Interests in mining tenements and petroleum tenements lapsed, relinquished or reduced</w:t>
            </w:r>
          </w:p>
        </w:tc>
        <w:tc>
          <w:tcPr>
            <w:tcW w:w="1234"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c>
          <w:tcPr>
            <w:tcW w:w="2470"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c>
          <w:tcPr>
            <w:tcW w:w="1288"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c>
          <w:tcPr>
            <w:tcW w:w="1156"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keepNext/>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r>
      <w:tr w:rsidR="00452357" w:rsidRPr="00452357" w:rsidTr="00452357">
        <w:trPr>
          <w:cantSplit/>
        </w:trPr>
        <w:tc>
          <w:tcPr>
            <w:tcW w:w="724" w:type="dxa"/>
            <w:tcBorders>
              <w:top w:val="dotted" w:sz="4" w:space="0" w:color="auto"/>
              <w:left w:val="dotted" w:sz="4" w:space="0" w:color="auto"/>
              <w:bottom w:val="dotted" w:sz="4" w:space="0" w:color="auto"/>
              <w:right w:val="nil"/>
            </w:tcBorders>
          </w:tcPr>
          <w:p w:rsidR="00452357" w:rsidRPr="00452357" w:rsidRDefault="00452357" w:rsidP="00452357">
            <w:pPr>
              <w:tabs>
                <w:tab w:val="clear" w:pos="851"/>
              </w:tabs>
              <w:overflowPunct w:val="0"/>
              <w:autoSpaceDE w:val="0"/>
              <w:autoSpaceDN w:val="0"/>
              <w:adjustRightInd w:val="0"/>
              <w:spacing w:before="60" w:after="60"/>
              <w:jc w:val="both"/>
              <w:textAlignment w:val="baseline"/>
              <w:rPr>
                <w:rFonts w:cs="Arial"/>
                <w:color w:val="000000"/>
                <w:szCs w:val="20"/>
                <w:lang w:eastAsia="en-AU"/>
              </w:rPr>
            </w:pPr>
            <w:r w:rsidRPr="00452357">
              <w:rPr>
                <w:rFonts w:cs="Arial"/>
                <w:color w:val="000000"/>
                <w:szCs w:val="20"/>
                <w:lang w:eastAsia="en-AU"/>
              </w:rPr>
              <w:t>10.2</w:t>
            </w:r>
          </w:p>
        </w:tc>
        <w:tc>
          <w:tcPr>
            <w:tcW w:w="2200" w:type="dxa"/>
            <w:tcBorders>
              <w:top w:val="dotted" w:sz="4" w:space="0" w:color="auto"/>
              <w:left w:val="nil"/>
              <w:bottom w:val="dotted" w:sz="4" w:space="0" w:color="auto"/>
              <w:right w:val="dotted" w:sz="4" w:space="0" w:color="auto"/>
            </w:tcBorders>
          </w:tcPr>
          <w:p w:rsidR="00452357" w:rsidRPr="00452357" w:rsidRDefault="00452357" w:rsidP="00452357">
            <w:pPr>
              <w:tabs>
                <w:tab w:val="clear" w:pos="851"/>
              </w:tabs>
              <w:overflowPunct w:val="0"/>
              <w:autoSpaceDE w:val="0"/>
              <w:autoSpaceDN w:val="0"/>
              <w:adjustRightInd w:val="0"/>
              <w:spacing w:before="60" w:after="60"/>
              <w:textAlignment w:val="baseline"/>
              <w:rPr>
                <w:rFonts w:cs="Arial"/>
                <w:color w:val="000000"/>
                <w:szCs w:val="20"/>
                <w:lang w:eastAsia="en-AU"/>
              </w:rPr>
            </w:pPr>
            <w:r w:rsidRPr="00452357">
              <w:rPr>
                <w:rFonts w:cs="Arial"/>
                <w:color w:val="000000"/>
                <w:szCs w:val="20"/>
                <w:lang w:eastAsia="en-AU"/>
              </w:rPr>
              <w:t>Interests in mining tenements and petroleum tenements acquired or increased</w:t>
            </w:r>
          </w:p>
        </w:tc>
        <w:tc>
          <w:tcPr>
            <w:tcW w:w="1234"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c>
          <w:tcPr>
            <w:tcW w:w="2470"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c>
          <w:tcPr>
            <w:tcW w:w="1288"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c>
          <w:tcPr>
            <w:tcW w:w="1156" w:type="dxa"/>
            <w:tcBorders>
              <w:top w:val="dotted" w:sz="4" w:space="0" w:color="auto"/>
              <w:left w:val="dotted" w:sz="4" w:space="0" w:color="auto"/>
              <w:bottom w:val="dotted" w:sz="4" w:space="0" w:color="auto"/>
              <w:right w:val="dotted" w:sz="4" w:space="0" w:color="auto"/>
            </w:tcBorders>
          </w:tcPr>
          <w:p w:rsidR="00452357" w:rsidRPr="00452357" w:rsidRDefault="00452357" w:rsidP="00452357">
            <w:pPr>
              <w:tabs>
                <w:tab w:val="clear" w:pos="851"/>
              </w:tabs>
              <w:overflowPunct w:val="0"/>
              <w:autoSpaceDE w:val="0"/>
              <w:autoSpaceDN w:val="0"/>
              <w:adjustRightInd w:val="0"/>
              <w:spacing w:before="60" w:after="60"/>
              <w:ind w:left="851" w:hanging="851"/>
              <w:jc w:val="both"/>
              <w:textAlignment w:val="baseline"/>
              <w:rPr>
                <w:rFonts w:cs="Arial"/>
                <w:szCs w:val="20"/>
                <w:lang w:val="en-GB" w:eastAsia="en-AU"/>
              </w:rPr>
            </w:pPr>
          </w:p>
        </w:tc>
      </w:tr>
    </w:tbl>
    <w:p w:rsidR="00452357" w:rsidRDefault="00452357" w:rsidP="000D1699">
      <w:pPr>
        <w:rPr>
          <w:lang w:val="en-GB"/>
        </w:rPr>
      </w:pPr>
    </w:p>
    <w:p w:rsidR="00DF56C0" w:rsidRPr="00C72D1B" w:rsidRDefault="00DF56C0" w:rsidP="007A042D">
      <w:pPr>
        <w:pStyle w:val="Heading2"/>
        <w:rPr>
          <w:lang w:val="en-GB"/>
        </w:rPr>
      </w:pPr>
      <w:r w:rsidRPr="00C72D1B">
        <w:rPr>
          <w:lang w:val="en-GB"/>
        </w:rPr>
        <w:lastRenderedPageBreak/>
        <w:t>Compliance statement</w:t>
      </w:r>
    </w:p>
    <w:p w:rsidR="00DF56C0" w:rsidRPr="00C72D1B" w:rsidRDefault="00DF56C0" w:rsidP="00DF56C0">
      <w:pPr>
        <w:keepNext/>
        <w:tabs>
          <w:tab w:val="clear" w:pos="851"/>
          <w:tab w:val="left" w:pos="567"/>
        </w:tabs>
        <w:overflowPunct w:val="0"/>
        <w:autoSpaceDE w:val="0"/>
        <w:autoSpaceDN w:val="0"/>
        <w:adjustRightInd w:val="0"/>
        <w:spacing w:line="240" w:lineRule="atLeast"/>
        <w:ind w:left="567" w:hanging="567"/>
        <w:textAlignment w:val="baseline"/>
        <w:rPr>
          <w:rFonts w:cs="Arial"/>
          <w:color w:val="000080"/>
          <w:szCs w:val="20"/>
          <w:lang w:val="en-GB"/>
        </w:rPr>
      </w:pPr>
      <w:r w:rsidRPr="00C72D1B">
        <w:rPr>
          <w:rFonts w:cs="Arial"/>
          <w:szCs w:val="20"/>
          <w:lang w:val="en-GB"/>
        </w:rPr>
        <w:t>1</w:t>
      </w:r>
      <w:r w:rsidRPr="00C72D1B">
        <w:rPr>
          <w:rFonts w:cs="Arial"/>
          <w:szCs w:val="20"/>
          <w:lang w:val="en-GB"/>
        </w:rPr>
        <w:tab/>
        <w:t>This statement has been prepared in accordance with accounting standards and policies which comply with Listing Rule 19.11A.</w:t>
      </w:r>
    </w:p>
    <w:p w:rsidR="00DF56C0" w:rsidRPr="00C72D1B" w:rsidRDefault="00DF56C0" w:rsidP="00DF56C0">
      <w:pPr>
        <w:keepNext/>
        <w:tabs>
          <w:tab w:val="clear" w:pos="851"/>
          <w:tab w:val="left" w:pos="567"/>
        </w:tabs>
        <w:overflowPunct w:val="0"/>
        <w:autoSpaceDE w:val="0"/>
        <w:autoSpaceDN w:val="0"/>
        <w:adjustRightInd w:val="0"/>
        <w:ind w:left="567" w:hanging="567"/>
        <w:textAlignment w:val="baseline"/>
        <w:rPr>
          <w:rFonts w:cs="Arial"/>
          <w:szCs w:val="20"/>
          <w:lang w:val="en-GB"/>
        </w:rPr>
      </w:pPr>
      <w:r w:rsidRPr="00C72D1B">
        <w:rPr>
          <w:rFonts w:cs="Arial"/>
          <w:szCs w:val="20"/>
          <w:lang w:val="en-GB"/>
        </w:rPr>
        <w:t>2</w:t>
      </w:r>
      <w:r w:rsidRPr="00C72D1B">
        <w:rPr>
          <w:rFonts w:cs="Arial"/>
          <w:szCs w:val="20"/>
          <w:lang w:val="en-GB"/>
        </w:rPr>
        <w:tab/>
        <w:t>This statement gives a true and fair view of the matters disclosed.</w:t>
      </w:r>
    </w:p>
    <w:p w:rsidR="00DF56C0" w:rsidRPr="00C72D1B" w:rsidRDefault="00DF56C0" w:rsidP="000D1699">
      <w:pPr>
        <w:keepNext/>
        <w:rPr>
          <w:rFonts w:cs="Arial"/>
          <w:szCs w:val="20"/>
          <w:lang w:val="en-GB"/>
        </w:rPr>
      </w:pPr>
    </w:p>
    <w:p w:rsidR="00DF56C0" w:rsidRPr="00C72D1B" w:rsidRDefault="00DF56C0" w:rsidP="00DF56C0">
      <w:pPr>
        <w:keepNext/>
        <w:tabs>
          <w:tab w:val="clear" w:pos="851"/>
        </w:tabs>
        <w:overflowPunct w:val="0"/>
        <w:autoSpaceDE w:val="0"/>
        <w:autoSpaceDN w:val="0"/>
        <w:adjustRightInd w:val="0"/>
        <w:spacing w:after="0"/>
        <w:ind w:left="851" w:hanging="851"/>
        <w:textAlignment w:val="baseline"/>
        <w:rPr>
          <w:rFonts w:cs="Arial"/>
          <w:szCs w:val="20"/>
          <w:lang w:val="en-GB"/>
        </w:rPr>
      </w:pPr>
      <w:r w:rsidRPr="00C72D1B">
        <w:rPr>
          <w:rFonts w:cs="Arial"/>
          <w:szCs w:val="20"/>
          <w:lang w:val="en-GB"/>
        </w:rPr>
        <w:t xml:space="preserve">Sign here: </w:t>
      </w:r>
      <w:r w:rsidRPr="00C72D1B">
        <w:rPr>
          <w:rFonts w:cs="Arial"/>
          <w:szCs w:val="20"/>
          <w:lang w:val="en-GB"/>
        </w:rPr>
        <w:tab/>
        <w:t>............................................................</w:t>
      </w:r>
      <w:r w:rsidRPr="00C72D1B">
        <w:rPr>
          <w:rFonts w:cs="Arial"/>
          <w:szCs w:val="20"/>
          <w:lang w:val="en-GB"/>
        </w:rPr>
        <w:tab/>
      </w:r>
      <w:r w:rsidRPr="00C72D1B">
        <w:rPr>
          <w:rFonts w:cs="Arial"/>
          <w:szCs w:val="20"/>
          <w:lang w:val="en-GB"/>
        </w:rPr>
        <w:tab/>
        <w:t>Date: .............................................</w:t>
      </w:r>
    </w:p>
    <w:p w:rsidR="00DF56C0" w:rsidRPr="00C72D1B" w:rsidRDefault="00DF56C0" w:rsidP="00DF56C0">
      <w:pPr>
        <w:keepNext/>
        <w:tabs>
          <w:tab w:val="clear" w:pos="851"/>
        </w:tabs>
        <w:overflowPunct w:val="0"/>
        <w:autoSpaceDE w:val="0"/>
        <w:autoSpaceDN w:val="0"/>
        <w:adjustRightInd w:val="0"/>
        <w:spacing w:before="0"/>
        <w:ind w:left="2552" w:hanging="851"/>
        <w:textAlignment w:val="baseline"/>
        <w:rPr>
          <w:rFonts w:cs="Arial"/>
          <w:szCs w:val="20"/>
          <w:lang w:val="en-GB"/>
        </w:rPr>
      </w:pPr>
      <w:r w:rsidRPr="00C72D1B">
        <w:rPr>
          <w:rFonts w:cs="Arial"/>
          <w:szCs w:val="20"/>
          <w:lang w:val="en-GB"/>
        </w:rPr>
        <w:t>(Director/Company secretary)</w:t>
      </w:r>
    </w:p>
    <w:p w:rsidR="00DF56C0" w:rsidRPr="00C72D1B" w:rsidRDefault="00DF56C0" w:rsidP="000D1699">
      <w:pPr>
        <w:keepNext/>
        <w:rPr>
          <w:rFonts w:cs="Arial"/>
          <w:szCs w:val="20"/>
          <w:lang w:val="en-GB"/>
        </w:rPr>
      </w:pPr>
    </w:p>
    <w:p w:rsidR="00DF56C0" w:rsidRPr="00C72D1B" w:rsidRDefault="00DF56C0" w:rsidP="00DF56C0">
      <w:pPr>
        <w:tabs>
          <w:tab w:val="clear" w:pos="851"/>
        </w:tabs>
        <w:overflowPunct w:val="0"/>
        <w:autoSpaceDE w:val="0"/>
        <w:autoSpaceDN w:val="0"/>
        <w:adjustRightInd w:val="0"/>
        <w:ind w:left="851" w:hanging="851"/>
        <w:textAlignment w:val="baseline"/>
        <w:rPr>
          <w:rFonts w:cs="Arial"/>
          <w:szCs w:val="20"/>
          <w:lang w:val="en-GB"/>
        </w:rPr>
      </w:pPr>
      <w:r w:rsidRPr="00C72D1B">
        <w:rPr>
          <w:rFonts w:cs="Arial"/>
          <w:szCs w:val="20"/>
          <w:lang w:val="en-GB"/>
        </w:rPr>
        <w:t xml:space="preserve">Print name: </w:t>
      </w:r>
      <w:r w:rsidRPr="00C72D1B">
        <w:rPr>
          <w:rFonts w:cs="Arial"/>
          <w:szCs w:val="20"/>
          <w:lang w:val="en-GB"/>
        </w:rPr>
        <w:tab/>
        <w:t>.........................................................</w:t>
      </w:r>
    </w:p>
    <w:p w:rsidR="00DF56C0" w:rsidRPr="00C72D1B" w:rsidRDefault="00DF56C0" w:rsidP="000D1699">
      <w:pPr>
        <w:keepNext/>
        <w:rPr>
          <w:rFonts w:cs="Arial"/>
          <w:szCs w:val="20"/>
          <w:lang w:val="en-GB"/>
        </w:rPr>
      </w:pPr>
    </w:p>
    <w:p w:rsidR="00DF56C0" w:rsidRPr="00C72D1B" w:rsidRDefault="00DF56C0" w:rsidP="00DF56C0">
      <w:pPr>
        <w:keepNext/>
        <w:tabs>
          <w:tab w:val="clear" w:pos="851"/>
        </w:tabs>
        <w:overflowPunct w:val="0"/>
        <w:autoSpaceDE w:val="0"/>
        <w:autoSpaceDN w:val="0"/>
        <w:adjustRightInd w:val="0"/>
        <w:textAlignment w:val="baseline"/>
        <w:outlineLvl w:val="1"/>
        <w:rPr>
          <w:rFonts w:cs="Arial"/>
          <w:b/>
          <w:szCs w:val="20"/>
          <w:lang w:val="en-GB"/>
        </w:rPr>
      </w:pPr>
      <w:r w:rsidRPr="00C72D1B">
        <w:rPr>
          <w:rFonts w:cs="Arial"/>
          <w:b/>
          <w:szCs w:val="20"/>
          <w:lang w:val="en-GB"/>
        </w:rPr>
        <w:t>Notes</w:t>
      </w:r>
    </w:p>
    <w:p w:rsidR="007A042D" w:rsidRPr="007A042D" w:rsidRDefault="007A042D" w:rsidP="007A042D">
      <w:pPr>
        <w:keepNext/>
        <w:tabs>
          <w:tab w:val="clear" w:pos="851"/>
        </w:tabs>
        <w:overflowPunct w:val="0"/>
        <w:autoSpaceDE w:val="0"/>
        <w:autoSpaceDN w:val="0"/>
        <w:adjustRightInd w:val="0"/>
        <w:ind w:left="567" w:hanging="567"/>
        <w:jc w:val="both"/>
        <w:textAlignment w:val="baseline"/>
        <w:rPr>
          <w:rFonts w:cs="Arial"/>
          <w:szCs w:val="20"/>
          <w:lang w:val="en-GB"/>
        </w:rPr>
      </w:pPr>
      <w:r w:rsidRPr="007A042D">
        <w:rPr>
          <w:rFonts w:cs="Arial"/>
          <w:szCs w:val="20"/>
          <w:lang w:val="en-GB"/>
        </w:rPr>
        <w:t>1.</w:t>
      </w:r>
      <w:r w:rsidRPr="007A042D">
        <w:rPr>
          <w:rFonts w:cs="Arial"/>
          <w:szCs w:val="20"/>
          <w:lang w:val="en-GB"/>
        </w:rPr>
        <w:tab/>
        <w:t>The quarterly report provides a basis for informing the market how the entity’s activities have been financed for the past quarter and the effect on its cash position. An entity that wishes to disclose additional information is encouraged to do so, in a note or notes included in or attached to this report.</w:t>
      </w:r>
    </w:p>
    <w:p w:rsidR="007A042D" w:rsidRPr="007A042D" w:rsidRDefault="007A042D" w:rsidP="007A042D">
      <w:pPr>
        <w:keepNext/>
        <w:tabs>
          <w:tab w:val="clear" w:pos="851"/>
        </w:tabs>
        <w:overflowPunct w:val="0"/>
        <w:autoSpaceDE w:val="0"/>
        <w:autoSpaceDN w:val="0"/>
        <w:adjustRightInd w:val="0"/>
        <w:ind w:left="567" w:hanging="567"/>
        <w:jc w:val="both"/>
        <w:textAlignment w:val="baseline"/>
        <w:rPr>
          <w:rFonts w:cs="Arial"/>
          <w:szCs w:val="20"/>
          <w:lang w:val="en-GB"/>
        </w:rPr>
      </w:pPr>
      <w:r w:rsidRPr="007A042D">
        <w:rPr>
          <w:rFonts w:cs="Arial"/>
          <w:szCs w:val="20"/>
          <w:lang w:val="en-GB"/>
        </w:rPr>
        <w:t>2.</w:t>
      </w:r>
      <w:r w:rsidRPr="007A042D">
        <w:rPr>
          <w:rFonts w:cs="Arial"/>
          <w:szCs w:val="20"/>
          <w:lang w:val="en-GB"/>
        </w:rPr>
        <w:tab/>
        <w:t>If this quarterly report has been prepared in accordance with Australian Accounting Standards, the definitions in, and provisions of, AASB 6: Exploration for and Evaluation of Mineral Resources and AASB 107: Statement of Cash Flows apply to this report. If this quarterly report has been prepared in accordance with other accounting standards agreed by ASX pursuant to Listing Rule 19.11A, the corresponding equivalent standards apply to this report.</w:t>
      </w:r>
    </w:p>
    <w:p w:rsidR="00DF56C0" w:rsidRPr="00C72D1B" w:rsidRDefault="007A042D" w:rsidP="007A042D">
      <w:pPr>
        <w:keepNext/>
        <w:tabs>
          <w:tab w:val="clear" w:pos="851"/>
        </w:tabs>
        <w:overflowPunct w:val="0"/>
        <w:autoSpaceDE w:val="0"/>
        <w:autoSpaceDN w:val="0"/>
        <w:adjustRightInd w:val="0"/>
        <w:ind w:left="567" w:hanging="567"/>
        <w:jc w:val="both"/>
        <w:textAlignment w:val="baseline"/>
        <w:rPr>
          <w:rFonts w:cs="Arial"/>
          <w:szCs w:val="20"/>
          <w:lang w:val="en-GB"/>
        </w:rPr>
      </w:pPr>
      <w:r w:rsidRPr="007A042D">
        <w:rPr>
          <w:rFonts w:cs="Arial"/>
          <w:szCs w:val="20"/>
          <w:lang w:val="en-GB"/>
        </w:rPr>
        <w:t>3.</w:t>
      </w:r>
      <w:r w:rsidRPr="007A042D">
        <w:rPr>
          <w:rFonts w:cs="Arial"/>
          <w:szCs w:val="20"/>
          <w:lang w:val="en-GB"/>
        </w:rPr>
        <w:tab/>
        <w:t>Dividends received may be classified either as cash flows from operating activities or cash flows from investing activities, depending on the accounting policy of the entity.</w:t>
      </w:r>
    </w:p>
    <w:p w:rsidR="00473C51" w:rsidRPr="00C72D1B" w:rsidRDefault="00473C51" w:rsidP="00473C51">
      <w:pPr>
        <w:rPr>
          <w:rFonts w:cs="Arial"/>
          <w:szCs w:val="20"/>
        </w:rPr>
      </w:pPr>
    </w:p>
    <w:sectPr w:rsidR="00473C51" w:rsidRPr="00C72D1B" w:rsidSect="0089621A">
      <w:headerReference w:type="default" r:id="rId8"/>
      <w:footerReference w:type="default" r:id="rId9"/>
      <w:pgSz w:w="11907" w:h="16840" w:code="9"/>
      <w:pgMar w:top="1440" w:right="1418" w:bottom="1134" w:left="1418"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3A9" w:rsidRDefault="008B43A9">
      <w:r>
        <w:separator/>
      </w:r>
    </w:p>
  </w:endnote>
  <w:endnote w:type="continuationSeparator" w:id="0">
    <w:p w:rsidR="008B43A9" w:rsidRDefault="008B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7E4" w:rsidRPr="00EA08BB" w:rsidRDefault="000637E4" w:rsidP="004B4C5B">
    <w:pPr>
      <w:pStyle w:val="Footer"/>
      <w:pBdr>
        <w:top w:val="single" w:sz="4" w:space="1" w:color="auto"/>
      </w:pBdr>
    </w:pPr>
    <w:r>
      <w:t xml:space="preserve">+ </w:t>
    </w:r>
    <w:r w:rsidRPr="004B4C5B">
      <w:t>See chapter 19 for defined terms</w:t>
    </w:r>
  </w:p>
  <w:p w:rsidR="000637E4" w:rsidRDefault="00A27601" w:rsidP="0055625E">
    <w:pPr>
      <w:pStyle w:val="Footer"/>
      <w:ind w:right="360"/>
    </w:pPr>
    <w:r>
      <w:rPr>
        <w:i/>
      </w:rPr>
      <w:t>1</w:t>
    </w:r>
    <w:r w:rsidR="000D1699">
      <w:rPr>
        <w:i/>
      </w:rPr>
      <w:t xml:space="preserve"> September </w:t>
    </w:r>
    <w:r w:rsidR="001E7B25" w:rsidRPr="001E7B25">
      <w:rPr>
        <w:i/>
      </w:rPr>
      <w:t>2016</w:t>
    </w:r>
    <w:r w:rsidR="000637E4">
      <w:tab/>
    </w:r>
    <w:r w:rsidR="000637E4">
      <w:tab/>
      <w:t xml:space="preserve">Page </w:t>
    </w:r>
    <w:r w:rsidR="000637E4">
      <w:rPr>
        <w:rStyle w:val="PageNumber"/>
      </w:rPr>
      <w:fldChar w:fldCharType="begin"/>
    </w:r>
    <w:r w:rsidR="000637E4">
      <w:rPr>
        <w:rStyle w:val="PageNumber"/>
      </w:rPr>
      <w:instrText xml:space="preserve"> PAGE </w:instrText>
    </w:r>
    <w:r w:rsidR="000637E4">
      <w:rPr>
        <w:rStyle w:val="PageNumber"/>
      </w:rPr>
      <w:fldChar w:fldCharType="separate"/>
    </w:r>
    <w:r w:rsidR="00FC0348">
      <w:rPr>
        <w:rStyle w:val="PageNumber"/>
        <w:noProof/>
      </w:rPr>
      <w:t>1</w:t>
    </w:r>
    <w:r w:rsidR="000637E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3A9" w:rsidRDefault="008B43A9">
      <w:r>
        <w:separator/>
      </w:r>
    </w:p>
  </w:footnote>
  <w:footnote w:type="continuationSeparator" w:id="0">
    <w:p w:rsidR="008B43A9" w:rsidRDefault="008B4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1A" w:rsidRPr="004B4C5B" w:rsidRDefault="0089621A" w:rsidP="0089621A">
    <w:pPr>
      <w:pStyle w:val="PageHeader"/>
    </w:pPr>
    <w:r>
      <w:rPr>
        <w:rFonts w:ascii="Zurich Cn BT" w:hAnsi="Zurich Cn BT"/>
        <w:color w:val="FF0000"/>
        <w:sz w:val="36"/>
        <w:szCs w:val="36"/>
      </w:rPr>
      <w:tab/>
    </w:r>
    <w:r>
      <w:t xml:space="preserve">Appendix </w:t>
    </w:r>
    <w:r w:rsidR="006A0757">
      <w:t>5B</w:t>
    </w:r>
  </w:p>
  <w:p w:rsidR="0089621A" w:rsidRDefault="0089621A" w:rsidP="0089621A">
    <w:pPr>
      <w:pStyle w:val="PageHeader"/>
    </w:pPr>
    <w:r w:rsidRPr="004B4C5B">
      <w:tab/>
    </w:r>
    <w:r w:rsidR="006A0757" w:rsidRPr="006A0757">
      <w:t>Mining exploration entity and oil and gas exploration entity quarterly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70A1F98"/>
    <w:multiLevelType w:val="hybridMultilevel"/>
    <w:tmpl w:val="007E6164"/>
    <w:lvl w:ilvl="0" w:tplc="28A48D16">
      <w:start w:val="1"/>
      <w:numFmt w:val="lowerLetter"/>
      <w:pStyle w:val="NumberingLevel3"/>
      <w:lvlText w:val="(%1)"/>
      <w:lvlJc w:val="left"/>
      <w:pPr>
        <w:ind w:left="360" w:hanging="360"/>
      </w:pPr>
      <w:rPr>
        <w:rFonts w:hint="default"/>
        <w:b w:val="0"/>
        <w:bCs w:val="0"/>
        <w:i w:val="0"/>
        <w:iCs w:val="0"/>
        <w:caps w:val="0"/>
        <w:strike w:val="0"/>
        <w:dstrike w:val="0"/>
        <w:vanish w:val="0"/>
        <w:color w:val="000000"/>
        <w:spacing w:val="0"/>
        <w:kern w:val="0"/>
        <w:position w:val="0"/>
        <w:sz w:val="22"/>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2"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3"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5D0F5763"/>
    <w:multiLevelType w:val="hybridMultilevel"/>
    <w:tmpl w:val="572EF2E8"/>
    <w:lvl w:ilvl="0" w:tplc="0C090001">
      <w:start w:val="1"/>
      <w:numFmt w:val="bullet"/>
      <w:lvlText w:val=""/>
      <w:lvlJc w:val="left"/>
      <w:pPr>
        <w:tabs>
          <w:tab w:val="num" w:pos="770"/>
        </w:tabs>
        <w:ind w:left="770" w:hanging="360"/>
      </w:pPr>
      <w:rPr>
        <w:rFonts w:ascii="Symbol" w:hAnsi="Symbol" w:hint="default"/>
      </w:rPr>
    </w:lvl>
    <w:lvl w:ilvl="1" w:tplc="0C090003" w:tentative="1">
      <w:start w:val="1"/>
      <w:numFmt w:val="bullet"/>
      <w:lvlText w:val="o"/>
      <w:lvlJc w:val="left"/>
      <w:pPr>
        <w:tabs>
          <w:tab w:val="num" w:pos="1490"/>
        </w:tabs>
        <w:ind w:left="1490" w:hanging="360"/>
      </w:pPr>
      <w:rPr>
        <w:rFonts w:ascii="Courier New" w:hAnsi="Courier New" w:cs="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cs="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cs="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52"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7A501655"/>
    <w:multiLevelType w:val="hybridMultilevel"/>
    <w:tmpl w:val="0494F2BE"/>
    <w:lvl w:ilvl="0" w:tplc="7C8806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7C5114A4"/>
    <w:multiLevelType w:val="hybridMultilevel"/>
    <w:tmpl w:val="F4BC71DA"/>
    <w:lvl w:ilvl="0" w:tplc="B844AF9E">
      <w:start w:val="1"/>
      <w:numFmt w:val="lowerLetter"/>
      <w:pStyle w:val="Definitions"/>
      <w:lvlText w:val="(%1)"/>
      <w:lvlJc w:val="left"/>
      <w:pPr>
        <w:ind w:left="360" w:hanging="360"/>
      </w:pPr>
      <w:rPr>
        <w:rFonts w:ascii="Arial Narrow" w:hAnsi="Arial Narrow" w:cs="Times New Roman"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9"/>
  </w:num>
  <w:num w:numId="2">
    <w:abstractNumId w:val="49"/>
  </w:num>
  <w:num w:numId="3">
    <w:abstractNumId w:val="42"/>
  </w:num>
  <w:num w:numId="4">
    <w:abstractNumId w:val="58"/>
  </w:num>
  <w:num w:numId="5">
    <w:abstractNumId w:val="53"/>
  </w:num>
  <w:num w:numId="6">
    <w:abstractNumId w:val="43"/>
  </w:num>
  <w:num w:numId="7">
    <w:abstractNumId w:val="20"/>
  </w:num>
  <w:num w:numId="8">
    <w:abstractNumId w:val="7"/>
  </w:num>
  <w:num w:numId="9">
    <w:abstractNumId w:val="21"/>
  </w:num>
  <w:num w:numId="10">
    <w:abstractNumId w:val="8"/>
  </w:num>
  <w:num w:numId="11">
    <w:abstractNumId w:val="5"/>
  </w:num>
  <w:num w:numId="12">
    <w:abstractNumId w:val="47"/>
  </w:num>
  <w:num w:numId="13">
    <w:abstractNumId w:val="45"/>
  </w:num>
  <w:num w:numId="14">
    <w:abstractNumId w:val="17"/>
  </w:num>
  <w:num w:numId="15">
    <w:abstractNumId w:val="15"/>
  </w:num>
  <w:num w:numId="16">
    <w:abstractNumId w:val="27"/>
  </w:num>
  <w:num w:numId="17">
    <w:abstractNumId w:val="10"/>
  </w:num>
  <w:num w:numId="18">
    <w:abstractNumId w:val="39"/>
  </w:num>
  <w:num w:numId="19">
    <w:abstractNumId w:val="66"/>
  </w:num>
  <w:num w:numId="20">
    <w:abstractNumId w:val="13"/>
  </w:num>
  <w:num w:numId="21">
    <w:abstractNumId w:val="32"/>
  </w:num>
  <w:num w:numId="22">
    <w:abstractNumId w:val="11"/>
  </w:num>
  <w:num w:numId="23">
    <w:abstractNumId w:val="4"/>
  </w:num>
  <w:num w:numId="24">
    <w:abstractNumId w:val="44"/>
  </w:num>
  <w:num w:numId="25">
    <w:abstractNumId w:val="25"/>
  </w:num>
  <w:num w:numId="26">
    <w:abstractNumId w:val="28"/>
  </w:num>
  <w:num w:numId="27">
    <w:abstractNumId w:val="9"/>
  </w:num>
  <w:num w:numId="28">
    <w:abstractNumId w:val="18"/>
  </w:num>
  <w:num w:numId="29">
    <w:abstractNumId w:val="38"/>
  </w:num>
  <w:num w:numId="30">
    <w:abstractNumId w:val="14"/>
  </w:num>
  <w:num w:numId="31">
    <w:abstractNumId w:val="63"/>
  </w:num>
  <w:num w:numId="32">
    <w:abstractNumId w:val="36"/>
  </w:num>
  <w:num w:numId="33">
    <w:abstractNumId w:val="3"/>
  </w:num>
  <w:num w:numId="34">
    <w:abstractNumId w:val="23"/>
  </w:num>
  <w:num w:numId="35">
    <w:abstractNumId w:val="61"/>
  </w:num>
  <w:num w:numId="36">
    <w:abstractNumId w:val="48"/>
  </w:num>
  <w:num w:numId="37">
    <w:abstractNumId w:val="19"/>
  </w:num>
  <w:num w:numId="38">
    <w:abstractNumId w:val="33"/>
  </w:num>
  <w:num w:numId="39">
    <w:abstractNumId w:val="2"/>
  </w:num>
  <w:num w:numId="40">
    <w:abstractNumId w:val="50"/>
  </w:num>
  <w:num w:numId="41">
    <w:abstractNumId w:val="31"/>
  </w:num>
  <w:num w:numId="42">
    <w:abstractNumId w:val="52"/>
  </w:num>
  <w:num w:numId="43">
    <w:abstractNumId w:val="26"/>
  </w:num>
  <w:num w:numId="44">
    <w:abstractNumId w:val="60"/>
  </w:num>
  <w:num w:numId="45">
    <w:abstractNumId w:val="24"/>
  </w:num>
  <w:num w:numId="46">
    <w:abstractNumId w:val="34"/>
  </w:num>
  <w:num w:numId="47">
    <w:abstractNumId w:val="22"/>
  </w:num>
  <w:num w:numId="48">
    <w:abstractNumId w:val="12"/>
  </w:num>
  <w:num w:numId="49">
    <w:abstractNumId w:val="55"/>
  </w:num>
  <w:num w:numId="50">
    <w:abstractNumId w:val="29"/>
  </w:num>
  <w:num w:numId="51">
    <w:abstractNumId w:val="37"/>
  </w:num>
  <w:num w:numId="52">
    <w:abstractNumId w:val="1"/>
  </w:num>
  <w:num w:numId="53">
    <w:abstractNumId w:val="30"/>
  </w:num>
  <w:num w:numId="54">
    <w:abstractNumId w:val="16"/>
  </w:num>
  <w:num w:numId="55">
    <w:abstractNumId w:val="57"/>
  </w:num>
  <w:num w:numId="56">
    <w:abstractNumId w:val="6"/>
  </w:num>
  <w:num w:numId="57">
    <w:abstractNumId w:val="46"/>
  </w:num>
  <w:num w:numId="58">
    <w:abstractNumId w:val="54"/>
  </w:num>
  <w:num w:numId="59">
    <w:abstractNumId w:val="56"/>
  </w:num>
  <w:num w:numId="60">
    <w:abstractNumId w:val="65"/>
  </w:num>
  <w:num w:numId="61">
    <w:abstractNumId w:val="35"/>
  </w:num>
  <w:num w:numId="62">
    <w:abstractNumId w:val="41"/>
  </w:num>
  <w:num w:numId="6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 w:numId="64">
    <w:abstractNumId w:val="51"/>
  </w:num>
  <w:num w:numId="65">
    <w:abstractNumId w:val="40"/>
  </w:num>
  <w:num w:numId="66">
    <w:abstractNumId w:val="40"/>
    <w:lvlOverride w:ilvl="0">
      <w:startOverride w:val="1"/>
    </w:lvlOverride>
  </w:num>
  <w:num w:numId="67">
    <w:abstractNumId w:val="40"/>
    <w:lvlOverride w:ilvl="0">
      <w:startOverride w:val="1"/>
    </w:lvlOverride>
  </w:num>
  <w:num w:numId="68">
    <w:abstractNumId w:val="62"/>
  </w:num>
  <w:num w:numId="69">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12"/>
    <w:rsid w:val="00002A94"/>
    <w:rsid w:val="00010E59"/>
    <w:rsid w:val="00012039"/>
    <w:rsid w:val="00013578"/>
    <w:rsid w:val="000140C2"/>
    <w:rsid w:val="00014FDA"/>
    <w:rsid w:val="00015BB3"/>
    <w:rsid w:val="00017048"/>
    <w:rsid w:val="000176E0"/>
    <w:rsid w:val="00017853"/>
    <w:rsid w:val="00021279"/>
    <w:rsid w:val="000226DB"/>
    <w:rsid w:val="00022D02"/>
    <w:rsid w:val="00023D95"/>
    <w:rsid w:val="00026633"/>
    <w:rsid w:val="00027F72"/>
    <w:rsid w:val="00031252"/>
    <w:rsid w:val="00031D44"/>
    <w:rsid w:val="00033EA9"/>
    <w:rsid w:val="000421DC"/>
    <w:rsid w:val="00042D58"/>
    <w:rsid w:val="00043C44"/>
    <w:rsid w:val="00045471"/>
    <w:rsid w:val="00046934"/>
    <w:rsid w:val="0005006B"/>
    <w:rsid w:val="00050ACF"/>
    <w:rsid w:val="00051DDA"/>
    <w:rsid w:val="00052C13"/>
    <w:rsid w:val="00053575"/>
    <w:rsid w:val="00053641"/>
    <w:rsid w:val="000541D0"/>
    <w:rsid w:val="000559D6"/>
    <w:rsid w:val="0005703F"/>
    <w:rsid w:val="00057CB0"/>
    <w:rsid w:val="0006287D"/>
    <w:rsid w:val="000637E4"/>
    <w:rsid w:val="00064C76"/>
    <w:rsid w:val="00066996"/>
    <w:rsid w:val="00067D6F"/>
    <w:rsid w:val="00071C4C"/>
    <w:rsid w:val="00073AE0"/>
    <w:rsid w:val="0008041E"/>
    <w:rsid w:val="00083884"/>
    <w:rsid w:val="000918A6"/>
    <w:rsid w:val="000936C7"/>
    <w:rsid w:val="00093F5E"/>
    <w:rsid w:val="0009451A"/>
    <w:rsid w:val="000A06AB"/>
    <w:rsid w:val="000A10A6"/>
    <w:rsid w:val="000A3B32"/>
    <w:rsid w:val="000A4F1D"/>
    <w:rsid w:val="000A6429"/>
    <w:rsid w:val="000A6CB3"/>
    <w:rsid w:val="000B2769"/>
    <w:rsid w:val="000B574D"/>
    <w:rsid w:val="000B72E6"/>
    <w:rsid w:val="000C1172"/>
    <w:rsid w:val="000C1C04"/>
    <w:rsid w:val="000C20F7"/>
    <w:rsid w:val="000C28E4"/>
    <w:rsid w:val="000C2B4B"/>
    <w:rsid w:val="000C41C8"/>
    <w:rsid w:val="000C446D"/>
    <w:rsid w:val="000C5D9C"/>
    <w:rsid w:val="000C62AF"/>
    <w:rsid w:val="000D1699"/>
    <w:rsid w:val="000D324F"/>
    <w:rsid w:val="000D403A"/>
    <w:rsid w:val="000D6173"/>
    <w:rsid w:val="000D636F"/>
    <w:rsid w:val="000D6650"/>
    <w:rsid w:val="000D743A"/>
    <w:rsid w:val="000E0635"/>
    <w:rsid w:val="000E15B2"/>
    <w:rsid w:val="000E3DCE"/>
    <w:rsid w:val="000E5656"/>
    <w:rsid w:val="000E59E7"/>
    <w:rsid w:val="000E5CA6"/>
    <w:rsid w:val="000E6C92"/>
    <w:rsid w:val="000F075F"/>
    <w:rsid w:val="000F16F1"/>
    <w:rsid w:val="000F2361"/>
    <w:rsid w:val="000F3301"/>
    <w:rsid w:val="000F5863"/>
    <w:rsid w:val="000F5DD9"/>
    <w:rsid w:val="00101AF6"/>
    <w:rsid w:val="00102C96"/>
    <w:rsid w:val="00104779"/>
    <w:rsid w:val="001054EC"/>
    <w:rsid w:val="001056AE"/>
    <w:rsid w:val="00105BCA"/>
    <w:rsid w:val="00106FE9"/>
    <w:rsid w:val="001071DC"/>
    <w:rsid w:val="00107C6B"/>
    <w:rsid w:val="00111654"/>
    <w:rsid w:val="001119A1"/>
    <w:rsid w:val="00111AFA"/>
    <w:rsid w:val="001147B3"/>
    <w:rsid w:val="00114B13"/>
    <w:rsid w:val="00114FDB"/>
    <w:rsid w:val="00116623"/>
    <w:rsid w:val="00116E7B"/>
    <w:rsid w:val="00121630"/>
    <w:rsid w:val="00123F59"/>
    <w:rsid w:val="001267D9"/>
    <w:rsid w:val="00127338"/>
    <w:rsid w:val="00130079"/>
    <w:rsid w:val="001309AC"/>
    <w:rsid w:val="00130F52"/>
    <w:rsid w:val="00131051"/>
    <w:rsid w:val="001323B2"/>
    <w:rsid w:val="0013276B"/>
    <w:rsid w:val="00132E5F"/>
    <w:rsid w:val="00133BC6"/>
    <w:rsid w:val="00133D2A"/>
    <w:rsid w:val="0013557F"/>
    <w:rsid w:val="001369B6"/>
    <w:rsid w:val="00141E89"/>
    <w:rsid w:val="00142449"/>
    <w:rsid w:val="0014364D"/>
    <w:rsid w:val="00144177"/>
    <w:rsid w:val="00146472"/>
    <w:rsid w:val="00150162"/>
    <w:rsid w:val="00150992"/>
    <w:rsid w:val="00150DB1"/>
    <w:rsid w:val="001518FF"/>
    <w:rsid w:val="00154509"/>
    <w:rsid w:val="00154DFB"/>
    <w:rsid w:val="0015581A"/>
    <w:rsid w:val="00156304"/>
    <w:rsid w:val="00160B53"/>
    <w:rsid w:val="001675C2"/>
    <w:rsid w:val="001708D1"/>
    <w:rsid w:val="00170C56"/>
    <w:rsid w:val="00170E78"/>
    <w:rsid w:val="00172CAF"/>
    <w:rsid w:val="0017772A"/>
    <w:rsid w:val="00180A21"/>
    <w:rsid w:val="0018285D"/>
    <w:rsid w:val="001841FB"/>
    <w:rsid w:val="00184B67"/>
    <w:rsid w:val="00185926"/>
    <w:rsid w:val="00186091"/>
    <w:rsid w:val="00187424"/>
    <w:rsid w:val="00187734"/>
    <w:rsid w:val="00191694"/>
    <w:rsid w:val="00194ACE"/>
    <w:rsid w:val="001965AA"/>
    <w:rsid w:val="00197859"/>
    <w:rsid w:val="001A04A5"/>
    <w:rsid w:val="001A1471"/>
    <w:rsid w:val="001A196A"/>
    <w:rsid w:val="001A2E0F"/>
    <w:rsid w:val="001A4C8D"/>
    <w:rsid w:val="001B04BA"/>
    <w:rsid w:val="001B0841"/>
    <w:rsid w:val="001B1482"/>
    <w:rsid w:val="001B3322"/>
    <w:rsid w:val="001B3993"/>
    <w:rsid w:val="001B40A5"/>
    <w:rsid w:val="001B5502"/>
    <w:rsid w:val="001C1936"/>
    <w:rsid w:val="001C1DEA"/>
    <w:rsid w:val="001C255E"/>
    <w:rsid w:val="001C3652"/>
    <w:rsid w:val="001C3A2B"/>
    <w:rsid w:val="001C588D"/>
    <w:rsid w:val="001D1674"/>
    <w:rsid w:val="001D366B"/>
    <w:rsid w:val="001D4F76"/>
    <w:rsid w:val="001D4FCF"/>
    <w:rsid w:val="001D52B3"/>
    <w:rsid w:val="001D57C3"/>
    <w:rsid w:val="001D6931"/>
    <w:rsid w:val="001E08F0"/>
    <w:rsid w:val="001E10CA"/>
    <w:rsid w:val="001E1131"/>
    <w:rsid w:val="001E175A"/>
    <w:rsid w:val="001E2CDD"/>
    <w:rsid w:val="001E5BD3"/>
    <w:rsid w:val="001E678B"/>
    <w:rsid w:val="001E6AC7"/>
    <w:rsid w:val="001E7153"/>
    <w:rsid w:val="001E720D"/>
    <w:rsid w:val="001E7B25"/>
    <w:rsid w:val="001F0290"/>
    <w:rsid w:val="001F182C"/>
    <w:rsid w:val="001F42F2"/>
    <w:rsid w:val="001F4397"/>
    <w:rsid w:val="001F4856"/>
    <w:rsid w:val="001F50BE"/>
    <w:rsid w:val="001F5E0D"/>
    <w:rsid w:val="001F6A1B"/>
    <w:rsid w:val="00200AB1"/>
    <w:rsid w:val="002017B5"/>
    <w:rsid w:val="0020455A"/>
    <w:rsid w:val="002045DB"/>
    <w:rsid w:val="00205EA9"/>
    <w:rsid w:val="00212470"/>
    <w:rsid w:val="00212567"/>
    <w:rsid w:val="00216761"/>
    <w:rsid w:val="00216C68"/>
    <w:rsid w:val="002205BE"/>
    <w:rsid w:val="00223855"/>
    <w:rsid w:val="002249E6"/>
    <w:rsid w:val="002253A4"/>
    <w:rsid w:val="00227008"/>
    <w:rsid w:val="0023393F"/>
    <w:rsid w:val="00235509"/>
    <w:rsid w:val="00235C68"/>
    <w:rsid w:val="00236FEC"/>
    <w:rsid w:val="002436F3"/>
    <w:rsid w:val="002455E3"/>
    <w:rsid w:val="00247B3B"/>
    <w:rsid w:val="0025214D"/>
    <w:rsid w:val="00252FEE"/>
    <w:rsid w:val="0025377D"/>
    <w:rsid w:val="00253FDD"/>
    <w:rsid w:val="00254190"/>
    <w:rsid w:val="00255007"/>
    <w:rsid w:val="002565EF"/>
    <w:rsid w:val="002568B7"/>
    <w:rsid w:val="00261C48"/>
    <w:rsid w:val="002621E0"/>
    <w:rsid w:val="002631B0"/>
    <w:rsid w:val="002637FC"/>
    <w:rsid w:val="00265564"/>
    <w:rsid w:val="00265C31"/>
    <w:rsid w:val="00267B13"/>
    <w:rsid w:val="00273DB7"/>
    <w:rsid w:val="00283065"/>
    <w:rsid w:val="00285F18"/>
    <w:rsid w:val="002878BC"/>
    <w:rsid w:val="0029042A"/>
    <w:rsid w:val="00290B4C"/>
    <w:rsid w:val="00292050"/>
    <w:rsid w:val="002940D3"/>
    <w:rsid w:val="0029452A"/>
    <w:rsid w:val="00295B12"/>
    <w:rsid w:val="002974E5"/>
    <w:rsid w:val="00297C13"/>
    <w:rsid w:val="002A04DF"/>
    <w:rsid w:val="002A22CC"/>
    <w:rsid w:val="002A300D"/>
    <w:rsid w:val="002A515E"/>
    <w:rsid w:val="002A5C07"/>
    <w:rsid w:val="002B0270"/>
    <w:rsid w:val="002B09E3"/>
    <w:rsid w:val="002B12FF"/>
    <w:rsid w:val="002B1B76"/>
    <w:rsid w:val="002B2618"/>
    <w:rsid w:val="002B44F5"/>
    <w:rsid w:val="002B4EBD"/>
    <w:rsid w:val="002B74D3"/>
    <w:rsid w:val="002C121C"/>
    <w:rsid w:val="002C2276"/>
    <w:rsid w:val="002C4689"/>
    <w:rsid w:val="002C50AC"/>
    <w:rsid w:val="002D1EB5"/>
    <w:rsid w:val="002D3167"/>
    <w:rsid w:val="002D32CB"/>
    <w:rsid w:val="002D6127"/>
    <w:rsid w:val="002D7066"/>
    <w:rsid w:val="002E101C"/>
    <w:rsid w:val="002E3730"/>
    <w:rsid w:val="002F016E"/>
    <w:rsid w:val="002F10E6"/>
    <w:rsid w:val="002F1159"/>
    <w:rsid w:val="002F2C9E"/>
    <w:rsid w:val="002F3C56"/>
    <w:rsid w:val="002F7DAC"/>
    <w:rsid w:val="00300664"/>
    <w:rsid w:val="0030100E"/>
    <w:rsid w:val="00304B1E"/>
    <w:rsid w:val="003052B1"/>
    <w:rsid w:val="003077FD"/>
    <w:rsid w:val="003129FC"/>
    <w:rsid w:val="00313F99"/>
    <w:rsid w:val="00314FA9"/>
    <w:rsid w:val="0031790B"/>
    <w:rsid w:val="00317D18"/>
    <w:rsid w:val="00321494"/>
    <w:rsid w:val="00322B3E"/>
    <w:rsid w:val="003233FB"/>
    <w:rsid w:val="00323445"/>
    <w:rsid w:val="003244DA"/>
    <w:rsid w:val="00326DED"/>
    <w:rsid w:val="003359D2"/>
    <w:rsid w:val="00335D71"/>
    <w:rsid w:val="003434A0"/>
    <w:rsid w:val="00343BDF"/>
    <w:rsid w:val="003465E2"/>
    <w:rsid w:val="00346711"/>
    <w:rsid w:val="00346D5D"/>
    <w:rsid w:val="00347CCB"/>
    <w:rsid w:val="00350A0D"/>
    <w:rsid w:val="00351C0C"/>
    <w:rsid w:val="003525E7"/>
    <w:rsid w:val="00353427"/>
    <w:rsid w:val="003553C5"/>
    <w:rsid w:val="00355F4E"/>
    <w:rsid w:val="0035604D"/>
    <w:rsid w:val="00361AF3"/>
    <w:rsid w:val="00363D73"/>
    <w:rsid w:val="00365483"/>
    <w:rsid w:val="00366023"/>
    <w:rsid w:val="00370848"/>
    <w:rsid w:val="00373859"/>
    <w:rsid w:val="00373FEE"/>
    <w:rsid w:val="00375095"/>
    <w:rsid w:val="003778A3"/>
    <w:rsid w:val="003826EA"/>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FFB"/>
    <w:rsid w:val="003A4D73"/>
    <w:rsid w:val="003A552C"/>
    <w:rsid w:val="003A7CB5"/>
    <w:rsid w:val="003B1589"/>
    <w:rsid w:val="003B29A4"/>
    <w:rsid w:val="003B3540"/>
    <w:rsid w:val="003B3ED4"/>
    <w:rsid w:val="003B69EF"/>
    <w:rsid w:val="003C0FC0"/>
    <w:rsid w:val="003C195F"/>
    <w:rsid w:val="003C7A1F"/>
    <w:rsid w:val="003D1BEF"/>
    <w:rsid w:val="003D230E"/>
    <w:rsid w:val="003D2582"/>
    <w:rsid w:val="003D4F45"/>
    <w:rsid w:val="003D617C"/>
    <w:rsid w:val="003E0096"/>
    <w:rsid w:val="003E219A"/>
    <w:rsid w:val="003E220A"/>
    <w:rsid w:val="003E2B8E"/>
    <w:rsid w:val="003F2032"/>
    <w:rsid w:val="003F2C95"/>
    <w:rsid w:val="003F59C5"/>
    <w:rsid w:val="003F5D03"/>
    <w:rsid w:val="003F7345"/>
    <w:rsid w:val="003F77E9"/>
    <w:rsid w:val="00403F2C"/>
    <w:rsid w:val="004059B1"/>
    <w:rsid w:val="00406A77"/>
    <w:rsid w:val="00407975"/>
    <w:rsid w:val="00410A4B"/>
    <w:rsid w:val="00411425"/>
    <w:rsid w:val="004132BD"/>
    <w:rsid w:val="0041440C"/>
    <w:rsid w:val="004145A4"/>
    <w:rsid w:val="00421137"/>
    <w:rsid w:val="004215B6"/>
    <w:rsid w:val="0042209B"/>
    <w:rsid w:val="00423D75"/>
    <w:rsid w:val="004279AB"/>
    <w:rsid w:val="00427F7E"/>
    <w:rsid w:val="00430211"/>
    <w:rsid w:val="00433D2C"/>
    <w:rsid w:val="0043719C"/>
    <w:rsid w:val="00440A50"/>
    <w:rsid w:val="00442541"/>
    <w:rsid w:val="00450795"/>
    <w:rsid w:val="00451CBE"/>
    <w:rsid w:val="00452357"/>
    <w:rsid w:val="00452E27"/>
    <w:rsid w:val="00454026"/>
    <w:rsid w:val="0045472F"/>
    <w:rsid w:val="0045564C"/>
    <w:rsid w:val="0045632B"/>
    <w:rsid w:val="00456ED2"/>
    <w:rsid w:val="00457A73"/>
    <w:rsid w:val="00457AEA"/>
    <w:rsid w:val="00465225"/>
    <w:rsid w:val="00473C51"/>
    <w:rsid w:val="00474A2C"/>
    <w:rsid w:val="00474FA1"/>
    <w:rsid w:val="00476274"/>
    <w:rsid w:val="00480450"/>
    <w:rsid w:val="00480914"/>
    <w:rsid w:val="00480D21"/>
    <w:rsid w:val="004834AC"/>
    <w:rsid w:val="00483F9A"/>
    <w:rsid w:val="00484D8F"/>
    <w:rsid w:val="00485630"/>
    <w:rsid w:val="0048571D"/>
    <w:rsid w:val="00487079"/>
    <w:rsid w:val="00487D1B"/>
    <w:rsid w:val="00490D99"/>
    <w:rsid w:val="00496DC1"/>
    <w:rsid w:val="0049714F"/>
    <w:rsid w:val="004975CE"/>
    <w:rsid w:val="004A04E1"/>
    <w:rsid w:val="004A2616"/>
    <w:rsid w:val="004A4449"/>
    <w:rsid w:val="004A61B1"/>
    <w:rsid w:val="004B234A"/>
    <w:rsid w:val="004B3174"/>
    <w:rsid w:val="004B377C"/>
    <w:rsid w:val="004B4C5B"/>
    <w:rsid w:val="004B5007"/>
    <w:rsid w:val="004B64AC"/>
    <w:rsid w:val="004B6605"/>
    <w:rsid w:val="004B6C11"/>
    <w:rsid w:val="004C102D"/>
    <w:rsid w:val="004C2DC8"/>
    <w:rsid w:val="004C3F5A"/>
    <w:rsid w:val="004C40DF"/>
    <w:rsid w:val="004C43DD"/>
    <w:rsid w:val="004C476E"/>
    <w:rsid w:val="004C518B"/>
    <w:rsid w:val="004C5FA1"/>
    <w:rsid w:val="004D0EB2"/>
    <w:rsid w:val="004D1D5F"/>
    <w:rsid w:val="004D3B33"/>
    <w:rsid w:val="004D589C"/>
    <w:rsid w:val="004D6C9F"/>
    <w:rsid w:val="004D7DC3"/>
    <w:rsid w:val="004E2EE7"/>
    <w:rsid w:val="004E3BED"/>
    <w:rsid w:val="004F2978"/>
    <w:rsid w:val="004F367B"/>
    <w:rsid w:val="004F4E26"/>
    <w:rsid w:val="004F60F0"/>
    <w:rsid w:val="004F7A58"/>
    <w:rsid w:val="005015D1"/>
    <w:rsid w:val="0050177E"/>
    <w:rsid w:val="00506692"/>
    <w:rsid w:val="00511C0E"/>
    <w:rsid w:val="0051316B"/>
    <w:rsid w:val="00517EA9"/>
    <w:rsid w:val="005200C2"/>
    <w:rsid w:val="0052126E"/>
    <w:rsid w:val="00522E14"/>
    <w:rsid w:val="0052418F"/>
    <w:rsid w:val="00524E4D"/>
    <w:rsid w:val="00525BE7"/>
    <w:rsid w:val="00526D05"/>
    <w:rsid w:val="00530C15"/>
    <w:rsid w:val="00531565"/>
    <w:rsid w:val="005318E1"/>
    <w:rsid w:val="005325A1"/>
    <w:rsid w:val="005340AE"/>
    <w:rsid w:val="00535076"/>
    <w:rsid w:val="00535756"/>
    <w:rsid w:val="00536561"/>
    <w:rsid w:val="00537E72"/>
    <w:rsid w:val="005457D4"/>
    <w:rsid w:val="00546F8D"/>
    <w:rsid w:val="00547280"/>
    <w:rsid w:val="00547607"/>
    <w:rsid w:val="005479D5"/>
    <w:rsid w:val="00550118"/>
    <w:rsid w:val="00550942"/>
    <w:rsid w:val="00551A3D"/>
    <w:rsid w:val="00551D77"/>
    <w:rsid w:val="00553DE7"/>
    <w:rsid w:val="005547B2"/>
    <w:rsid w:val="005560B8"/>
    <w:rsid w:val="0055625E"/>
    <w:rsid w:val="00560330"/>
    <w:rsid w:val="005613DB"/>
    <w:rsid w:val="00561443"/>
    <w:rsid w:val="0056248F"/>
    <w:rsid w:val="00562F59"/>
    <w:rsid w:val="005653A7"/>
    <w:rsid w:val="005719F0"/>
    <w:rsid w:val="005737BF"/>
    <w:rsid w:val="005739B8"/>
    <w:rsid w:val="00575846"/>
    <w:rsid w:val="00576FA3"/>
    <w:rsid w:val="00577B36"/>
    <w:rsid w:val="005815E9"/>
    <w:rsid w:val="00582FC8"/>
    <w:rsid w:val="00587A17"/>
    <w:rsid w:val="005922D3"/>
    <w:rsid w:val="00592DA0"/>
    <w:rsid w:val="00594EA6"/>
    <w:rsid w:val="005A02FC"/>
    <w:rsid w:val="005A0881"/>
    <w:rsid w:val="005A1318"/>
    <w:rsid w:val="005A1C14"/>
    <w:rsid w:val="005A2EEB"/>
    <w:rsid w:val="005A3C6F"/>
    <w:rsid w:val="005A4FD8"/>
    <w:rsid w:val="005A5283"/>
    <w:rsid w:val="005B0550"/>
    <w:rsid w:val="005B18AD"/>
    <w:rsid w:val="005B47A1"/>
    <w:rsid w:val="005B5C46"/>
    <w:rsid w:val="005B7D51"/>
    <w:rsid w:val="005C02E9"/>
    <w:rsid w:val="005C0CAF"/>
    <w:rsid w:val="005C4618"/>
    <w:rsid w:val="005C5F68"/>
    <w:rsid w:val="005C6441"/>
    <w:rsid w:val="005D0BA7"/>
    <w:rsid w:val="005D5E09"/>
    <w:rsid w:val="005D6EC2"/>
    <w:rsid w:val="005E0B7B"/>
    <w:rsid w:val="005E2BE0"/>
    <w:rsid w:val="005E62AC"/>
    <w:rsid w:val="005E7AC5"/>
    <w:rsid w:val="005F1AD2"/>
    <w:rsid w:val="005F6E39"/>
    <w:rsid w:val="005F72F5"/>
    <w:rsid w:val="005F7D12"/>
    <w:rsid w:val="00600495"/>
    <w:rsid w:val="00600F5B"/>
    <w:rsid w:val="00602C26"/>
    <w:rsid w:val="00602CA7"/>
    <w:rsid w:val="00603F29"/>
    <w:rsid w:val="006068F0"/>
    <w:rsid w:val="00607607"/>
    <w:rsid w:val="006104DC"/>
    <w:rsid w:val="006117C8"/>
    <w:rsid w:val="006133C5"/>
    <w:rsid w:val="00615278"/>
    <w:rsid w:val="00616168"/>
    <w:rsid w:val="00620DFD"/>
    <w:rsid w:val="006216D3"/>
    <w:rsid w:val="00621A22"/>
    <w:rsid w:val="0062352F"/>
    <w:rsid w:val="0062537E"/>
    <w:rsid w:val="00625B1D"/>
    <w:rsid w:val="00630752"/>
    <w:rsid w:val="00632838"/>
    <w:rsid w:val="006350D0"/>
    <w:rsid w:val="00637B2B"/>
    <w:rsid w:val="00641CD2"/>
    <w:rsid w:val="006421D6"/>
    <w:rsid w:val="006427B9"/>
    <w:rsid w:val="0064456A"/>
    <w:rsid w:val="00645679"/>
    <w:rsid w:val="00645738"/>
    <w:rsid w:val="00651196"/>
    <w:rsid w:val="00655528"/>
    <w:rsid w:val="00657CE1"/>
    <w:rsid w:val="006607A3"/>
    <w:rsid w:val="00660DFB"/>
    <w:rsid w:val="00666444"/>
    <w:rsid w:val="00670130"/>
    <w:rsid w:val="00671D13"/>
    <w:rsid w:val="00677E57"/>
    <w:rsid w:val="00680BE2"/>
    <w:rsid w:val="00681A6D"/>
    <w:rsid w:val="0068345A"/>
    <w:rsid w:val="00684623"/>
    <w:rsid w:val="00687DE1"/>
    <w:rsid w:val="0069228F"/>
    <w:rsid w:val="006932B3"/>
    <w:rsid w:val="00693436"/>
    <w:rsid w:val="006937EE"/>
    <w:rsid w:val="00693F83"/>
    <w:rsid w:val="00694FCB"/>
    <w:rsid w:val="006957C1"/>
    <w:rsid w:val="0069600C"/>
    <w:rsid w:val="00696474"/>
    <w:rsid w:val="00696733"/>
    <w:rsid w:val="00697AA8"/>
    <w:rsid w:val="006A0757"/>
    <w:rsid w:val="006A17F3"/>
    <w:rsid w:val="006A5E6A"/>
    <w:rsid w:val="006A6127"/>
    <w:rsid w:val="006A6F52"/>
    <w:rsid w:val="006B1CFB"/>
    <w:rsid w:val="006B3D86"/>
    <w:rsid w:val="006B7D97"/>
    <w:rsid w:val="006C0570"/>
    <w:rsid w:val="006C1452"/>
    <w:rsid w:val="006C2D18"/>
    <w:rsid w:val="006C2D83"/>
    <w:rsid w:val="006D08D8"/>
    <w:rsid w:val="006D0A1A"/>
    <w:rsid w:val="006D158E"/>
    <w:rsid w:val="006E1845"/>
    <w:rsid w:val="006E19A5"/>
    <w:rsid w:val="006E29C6"/>
    <w:rsid w:val="006E4453"/>
    <w:rsid w:val="006E4B3C"/>
    <w:rsid w:val="006E532C"/>
    <w:rsid w:val="006F3529"/>
    <w:rsid w:val="006F3A4F"/>
    <w:rsid w:val="006F4384"/>
    <w:rsid w:val="00701983"/>
    <w:rsid w:val="007019B3"/>
    <w:rsid w:val="00702FA9"/>
    <w:rsid w:val="00704902"/>
    <w:rsid w:val="00704E7C"/>
    <w:rsid w:val="007058FE"/>
    <w:rsid w:val="00705D42"/>
    <w:rsid w:val="00710CA8"/>
    <w:rsid w:val="00712A2F"/>
    <w:rsid w:val="00712AB2"/>
    <w:rsid w:val="00713D16"/>
    <w:rsid w:val="007158B8"/>
    <w:rsid w:val="00720173"/>
    <w:rsid w:val="0072090A"/>
    <w:rsid w:val="00720FCC"/>
    <w:rsid w:val="00721362"/>
    <w:rsid w:val="00721435"/>
    <w:rsid w:val="00721A89"/>
    <w:rsid w:val="00723D58"/>
    <w:rsid w:val="007243C9"/>
    <w:rsid w:val="00725219"/>
    <w:rsid w:val="0072579A"/>
    <w:rsid w:val="0072638C"/>
    <w:rsid w:val="00730C32"/>
    <w:rsid w:val="0073348A"/>
    <w:rsid w:val="00733743"/>
    <w:rsid w:val="00734DCB"/>
    <w:rsid w:val="00735C6D"/>
    <w:rsid w:val="00735DEB"/>
    <w:rsid w:val="00736948"/>
    <w:rsid w:val="00737F1A"/>
    <w:rsid w:val="007409EA"/>
    <w:rsid w:val="007413DC"/>
    <w:rsid w:val="0074214C"/>
    <w:rsid w:val="00742670"/>
    <w:rsid w:val="00744C05"/>
    <w:rsid w:val="00745D2A"/>
    <w:rsid w:val="0074713A"/>
    <w:rsid w:val="0074774C"/>
    <w:rsid w:val="00747842"/>
    <w:rsid w:val="00750F84"/>
    <w:rsid w:val="00751B17"/>
    <w:rsid w:val="00756ACE"/>
    <w:rsid w:val="007575C9"/>
    <w:rsid w:val="0076102E"/>
    <w:rsid w:val="007626E0"/>
    <w:rsid w:val="00763A4A"/>
    <w:rsid w:val="00764621"/>
    <w:rsid w:val="00764696"/>
    <w:rsid w:val="00765BC8"/>
    <w:rsid w:val="00767C66"/>
    <w:rsid w:val="007716CC"/>
    <w:rsid w:val="00771AFE"/>
    <w:rsid w:val="007726E0"/>
    <w:rsid w:val="00777C5C"/>
    <w:rsid w:val="00781898"/>
    <w:rsid w:val="0078192C"/>
    <w:rsid w:val="00782A2F"/>
    <w:rsid w:val="007848BD"/>
    <w:rsid w:val="00786CD8"/>
    <w:rsid w:val="007877C7"/>
    <w:rsid w:val="00787C36"/>
    <w:rsid w:val="007921D4"/>
    <w:rsid w:val="007931F4"/>
    <w:rsid w:val="007936FD"/>
    <w:rsid w:val="00794944"/>
    <w:rsid w:val="00797F23"/>
    <w:rsid w:val="007A042D"/>
    <w:rsid w:val="007A26B5"/>
    <w:rsid w:val="007A2BB9"/>
    <w:rsid w:val="007A4572"/>
    <w:rsid w:val="007A78BF"/>
    <w:rsid w:val="007B06F3"/>
    <w:rsid w:val="007B15F2"/>
    <w:rsid w:val="007B375F"/>
    <w:rsid w:val="007B6BD1"/>
    <w:rsid w:val="007B7988"/>
    <w:rsid w:val="007C15AA"/>
    <w:rsid w:val="007C31FF"/>
    <w:rsid w:val="007C3450"/>
    <w:rsid w:val="007C4088"/>
    <w:rsid w:val="007C46D9"/>
    <w:rsid w:val="007C4CC5"/>
    <w:rsid w:val="007C55ED"/>
    <w:rsid w:val="007D0B1D"/>
    <w:rsid w:val="007D2DCB"/>
    <w:rsid w:val="007D61E4"/>
    <w:rsid w:val="007D630C"/>
    <w:rsid w:val="007E2AD9"/>
    <w:rsid w:val="007E710A"/>
    <w:rsid w:val="007F2576"/>
    <w:rsid w:val="007F3E7C"/>
    <w:rsid w:val="007F46E2"/>
    <w:rsid w:val="007F64A6"/>
    <w:rsid w:val="008011A0"/>
    <w:rsid w:val="00802FCB"/>
    <w:rsid w:val="008030C1"/>
    <w:rsid w:val="00803133"/>
    <w:rsid w:val="008040CC"/>
    <w:rsid w:val="008043AA"/>
    <w:rsid w:val="0080615D"/>
    <w:rsid w:val="00806AD2"/>
    <w:rsid w:val="00810341"/>
    <w:rsid w:val="008113E1"/>
    <w:rsid w:val="0081157B"/>
    <w:rsid w:val="0081403C"/>
    <w:rsid w:val="00814176"/>
    <w:rsid w:val="00816EC3"/>
    <w:rsid w:val="00821673"/>
    <w:rsid w:val="00823486"/>
    <w:rsid w:val="0082683F"/>
    <w:rsid w:val="00833489"/>
    <w:rsid w:val="00833FB5"/>
    <w:rsid w:val="008354F9"/>
    <w:rsid w:val="008357D0"/>
    <w:rsid w:val="00841A93"/>
    <w:rsid w:val="00842F80"/>
    <w:rsid w:val="00850B66"/>
    <w:rsid w:val="008517E9"/>
    <w:rsid w:val="0085293D"/>
    <w:rsid w:val="008548BA"/>
    <w:rsid w:val="00854D86"/>
    <w:rsid w:val="008559B7"/>
    <w:rsid w:val="008569D3"/>
    <w:rsid w:val="00857917"/>
    <w:rsid w:val="008616E6"/>
    <w:rsid w:val="008625A6"/>
    <w:rsid w:val="00862E6A"/>
    <w:rsid w:val="00863C28"/>
    <w:rsid w:val="00865D10"/>
    <w:rsid w:val="0087276D"/>
    <w:rsid w:val="00874092"/>
    <w:rsid w:val="0087670B"/>
    <w:rsid w:val="008767A8"/>
    <w:rsid w:val="00880FCC"/>
    <w:rsid w:val="0088174B"/>
    <w:rsid w:val="00881A15"/>
    <w:rsid w:val="0088209F"/>
    <w:rsid w:val="00882A87"/>
    <w:rsid w:val="00885D2C"/>
    <w:rsid w:val="008905AA"/>
    <w:rsid w:val="00890C25"/>
    <w:rsid w:val="00891454"/>
    <w:rsid w:val="00891E40"/>
    <w:rsid w:val="00893017"/>
    <w:rsid w:val="0089621A"/>
    <w:rsid w:val="008A0D5D"/>
    <w:rsid w:val="008A457A"/>
    <w:rsid w:val="008A50C5"/>
    <w:rsid w:val="008A570D"/>
    <w:rsid w:val="008A7563"/>
    <w:rsid w:val="008B036D"/>
    <w:rsid w:val="008B2782"/>
    <w:rsid w:val="008B43A9"/>
    <w:rsid w:val="008B4727"/>
    <w:rsid w:val="008B77AF"/>
    <w:rsid w:val="008B79F0"/>
    <w:rsid w:val="008C3B3A"/>
    <w:rsid w:val="008C5634"/>
    <w:rsid w:val="008C6454"/>
    <w:rsid w:val="008D513E"/>
    <w:rsid w:val="008D5637"/>
    <w:rsid w:val="008D5F8C"/>
    <w:rsid w:val="008D616F"/>
    <w:rsid w:val="008E5B85"/>
    <w:rsid w:val="008E5E5A"/>
    <w:rsid w:val="008E617E"/>
    <w:rsid w:val="008E6B9B"/>
    <w:rsid w:val="008F01B6"/>
    <w:rsid w:val="008F0ACC"/>
    <w:rsid w:val="008F2B04"/>
    <w:rsid w:val="008F382D"/>
    <w:rsid w:val="008F41B7"/>
    <w:rsid w:val="008F67D6"/>
    <w:rsid w:val="009020FA"/>
    <w:rsid w:val="00902124"/>
    <w:rsid w:val="009033B7"/>
    <w:rsid w:val="00904152"/>
    <w:rsid w:val="00905523"/>
    <w:rsid w:val="009112A5"/>
    <w:rsid w:val="00911664"/>
    <w:rsid w:val="0091432B"/>
    <w:rsid w:val="00920605"/>
    <w:rsid w:val="0092124A"/>
    <w:rsid w:val="00923384"/>
    <w:rsid w:val="00924CB6"/>
    <w:rsid w:val="00925016"/>
    <w:rsid w:val="00926864"/>
    <w:rsid w:val="0092760D"/>
    <w:rsid w:val="009302C3"/>
    <w:rsid w:val="00931056"/>
    <w:rsid w:val="009318EF"/>
    <w:rsid w:val="00931A08"/>
    <w:rsid w:val="00931CD8"/>
    <w:rsid w:val="0093546C"/>
    <w:rsid w:val="00937AEB"/>
    <w:rsid w:val="00940DAC"/>
    <w:rsid w:val="009411FD"/>
    <w:rsid w:val="00942155"/>
    <w:rsid w:val="00942225"/>
    <w:rsid w:val="00942EF6"/>
    <w:rsid w:val="00944803"/>
    <w:rsid w:val="00950325"/>
    <w:rsid w:val="009508B1"/>
    <w:rsid w:val="00952CBE"/>
    <w:rsid w:val="009543AC"/>
    <w:rsid w:val="0095703F"/>
    <w:rsid w:val="009571F0"/>
    <w:rsid w:val="0096010E"/>
    <w:rsid w:val="009607CD"/>
    <w:rsid w:val="00962042"/>
    <w:rsid w:val="009670A7"/>
    <w:rsid w:val="00982479"/>
    <w:rsid w:val="00985D42"/>
    <w:rsid w:val="00992A70"/>
    <w:rsid w:val="00993D36"/>
    <w:rsid w:val="009959F8"/>
    <w:rsid w:val="009965FE"/>
    <w:rsid w:val="009A0022"/>
    <w:rsid w:val="009A297A"/>
    <w:rsid w:val="009A5029"/>
    <w:rsid w:val="009A7404"/>
    <w:rsid w:val="009A7642"/>
    <w:rsid w:val="009B079F"/>
    <w:rsid w:val="009B179F"/>
    <w:rsid w:val="009B17E9"/>
    <w:rsid w:val="009B46D2"/>
    <w:rsid w:val="009B5338"/>
    <w:rsid w:val="009C0C7A"/>
    <w:rsid w:val="009C0E56"/>
    <w:rsid w:val="009C237C"/>
    <w:rsid w:val="009C24C9"/>
    <w:rsid w:val="009C338D"/>
    <w:rsid w:val="009C3693"/>
    <w:rsid w:val="009C43DE"/>
    <w:rsid w:val="009C4B3B"/>
    <w:rsid w:val="009C59BB"/>
    <w:rsid w:val="009D0759"/>
    <w:rsid w:val="009D1B38"/>
    <w:rsid w:val="009D2BCD"/>
    <w:rsid w:val="009D3CCD"/>
    <w:rsid w:val="009D492E"/>
    <w:rsid w:val="009D75A1"/>
    <w:rsid w:val="009E23B9"/>
    <w:rsid w:val="009E6C6D"/>
    <w:rsid w:val="009E7C46"/>
    <w:rsid w:val="009F0065"/>
    <w:rsid w:val="009F0791"/>
    <w:rsid w:val="009F75C4"/>
    <w:rsid w:val="009F7855"/>
    <w:rsid w:val="00A01794"/>
    <w:rsid w:val="00A045D9"/>
    <w:rsid w:val="00A07346"/>
    <w:rsid w:val="00A12E59"/>
    <w:rsid w:val="00A148E6"/>
    <w:rsid w:val="00A20429"/>
    <w:rsid w:val="00A2070D"/>
    <w:rsid w:val="00A2497F"/>
    <w:rsid w:val="00A25133"/>
    <w:rsid w:val="00A272BB"/>
    <w:rsid w:val="00A27601"/>
    <w:rsid w:val="00A30690"/>
    <w:rsid w:val="00A32084"/>
    <w:rsid w:val="00A32AFB"/>
    <w:rsid w:val="00A32E87"/>
    <w:rsid w:val="00A33F2C"/>
    <w:rsid w:val="00A35BA3"/>
    <w:rsid w:val="00A40268"/>
    <w:rsid w:val="00A435BD"/>
    <w:rsid w:val="00A44D50"/>
    <w:rsid w:val="00A46022"/>
    <w:rsid w:val="00A46523"/>
    <w:rsid w:val="00A52908"/>
    <w:rsid w:val="00A53345"/>
    <w:rsid w:val="00A54BF5"/>
    <w:rsid w:val="00A54CFC"/>
    <w:rsid w:val="00A552EC"/>
    <w:rsid w:val="00A55B81"/>
    <w:rsid w:val="00A565B3"/>
    <w:rsid w:val="00A569DD"/>
    <w:rsid w:val="00A57A3E"/>
    <w:rsid w:val="00A600A5"/>
    <w:rsid w:val="00A60955"/>
    <w:rsid w:val="00A61C49"/>
    <w:rsid w:val="00A6218D"/>
    <w:rsid w:val="00A64981"/>
    <w:rsid w:val="00A6703F"/>
    <w:rsid w:val="00A72B82"/>
    <w:rsid w:val="00A72E85"/>
    <w:rsid w:val="00A74B05"/>
    <w:rsid w:val="00A7518A"/>
    <w:rsid w:val="00A82B95"/>
    <w:rsid w:val="00A8479F"/>
    <w:rsid w:val="00A84A68"/>
    <w:rsid w:val="00A8532E"/>
    <w:rsid w:val="00A85F58"/>
    <w:rsid w:val="00A8625F"/>
    <w:rsid w:val="00A93534"/>
    <w:rsid w:val="00A936E4"/>
    <w:rsid w:val="00A93E62"/>
    <w:rsid w:val="00AA0B90"/>
    <w:rsid w:val="00AA10C5"/>
    <w:rsid w:val="00AA4093"/>
    <w:rsid w:val="00AA5ADC"/>
    <w:rsid w:val="00AA7DFC"/>
    <w:rsid w:val="00AB0AFA"/>
    <w:rsid w:val="00AB2B46"/>
    <w:rsid w:val="00AB32A8"/>
    <w:rsid w:val="00AB498A"/>
    <w:rsid w:val="00AC0207"/>
    <w:rsid w:val="00AC2637"/>
    <w:rsid w:val="00AC299C"/>
    <w:rsid w:val="00AC499B"/>
    <w:rsid w:val="00AC6243"/>
    <w:rsid w:val="00AC6F38"/>
    <w:rsid w:val="00AC7ACE"/>
    <w:rsid w:val="00AD0AF8"/>
    <w:rsid w:val="00AD2282"/>
    <w:rsid w:val="00AD2A6B"/>
    <w:rsid w:val="00AD4244"/>
    <w:rsid w:val="00AD49F4"/>
    <w:rsid w:val="00AD4D05"/>
    <w:rsid w:val="00AE094E"/>
    <w:rsid w:val="00AE1F8C"/>
    <w:rsid w:val="00AE2455"/>
    <w:rsid w:val="00AE308C"/>
    <w:rsid w:val="00AE38D3"/>
    <w:rsid w:val="00AE3C23"/>
    <w:rsid w:val="00AE5289"/>
    <w:rsid w:val="00AE7083"/>
    <w:rsid w:val="00AE72F6"/>
    <w:rsid w:val="00AF2DE4"/>
    <w:rsid w:val="00AF489F"/>
    <w:rsid w:val="00AF5307"/>
    <w:rsid w:val="00AF5E7D"/>
    <w:rsid w:val="00AF6431"/>
    <w:rsid w:val="00B04C0C"/>
    <w:rsid w:val="00B05E57"/>
    <w:rsid w:val="00B1107D"/>
    <w:rsid w:val="00B142E9"/>
    <w:rsid w:val="00B16EDF"/>
    <w:rsid w:val="00B1779A"/>
    <w:rsid w:val="00B20009"/>
    <w:rsid w:val="00B20435"/>
    <w:rsid w:val="00B257FE"/>
    <w:rsid w:val="00B339FA"/>
    <w:rsid w:val="00B34321"/>
    <w:rsid w:val="00B35C4C"/>
    <w:rsid w:val="00B369F4"/>
    <w:rsid w:val="00B369FE"/>
    <w:rsid w:val="00B36B60"/>
    <w:rsid w:val="00B4499F"/>
    <w:rsid w:val="00B452DC"/>
    <w:rsid w:val="00B4549D"/>
    <w:rsid w:val="00B46FC3"/>
    <w:rsid w:val="00B52533"/>
    <w:rsid w:val="00B52A53"/>
    <w:rsid w:val="00B54108"/>
    <w:rsid w:val="00B5475C"/>
    <w:rsid w:val="00B61F08"/>
    <w:rsid w:val="00B620C5"/>
    <w:rsid w:val="00B627F9"/>
    <w:rsid w:val="00B62EA3"/>
    <w:rsid w:val="00B64E15"/>
    <w:rsid w:val="00B6540B"/>
    <w:rsid w:val="00B657FD"/>
    <w:rsid w:val="00B6621F"/>
    <w:rsid w:val="00B669D7"/>
    <w:rsid w:val="00B66FEB"/>
    <w:rsid w:val="00B67A97"/>
    <w:rsid w:val="00B7284C"/>
    <w:rsid w:val="00B75091"/>
    <w:rsid w:val="00B770CF"/>
    <w:rsid w:val="00B81631"/>
    <w:rsid w:val="00B848D0"/>
    <w:rsid w:val="00B86023"/>
    <w:rsid w:val="00B92CE9"/>
    <w:rsid w:val="00B93DBD"/>
    <w:rsid w:val="00B9540C"/>
    <w:rsid w:val="00BA3EEC"/>
    <w:rsid w:val="00BA428B"/>
    <w:rsid w:val="00BA59FD"/>
    <w:rsid w:val="00BA7176"/>
    <w:rsid w:val="00BA7CC4"/>
    <w:rsid w:val="00BB42E4"/>
    <w:rsid w:val="00BB5A77"/>
    <w:rsid w:val="00BB5D7F"/>
    <w:rsid w:val="00BC140A"/>
    <w:rsid w:val="00BC2615"/>
    <w:rsid w:val="00BC2F92"/>
    <w:rsid w:val="00BC383E"/>
    <w:rsid w:val="00BC3DEA"/>
    <w:rsid w:val="00BC4D6E"/>
    <w:rsid w:val="00BC576F"/>
    <w:rsid w:val="00BC61F2"/>
    <w:rsid w:val="00BC63F4"/>
    <w:rsid w:val="00BD18A1"/>
    <w:rsid w:val="00BD5AB4"/>
    <w:rsid w:val="00BD781B"/>
    <w:rsid w:val="00BE1820"/>
    <w:rsid w:val="00BE1B6D"/>
    <w:rsid w:val="00BE1E03"/>
    <w:rsid w:val="00BE26F5"/>
    <w:rsid w:val="00BE47ED"/>
    <w:rsid w:val="00BE59F9"/>
    <w:rsid w:val="00BF230A"/>
    <w:rsid w:val="00BF293A"/>
    <w:rsid w:val="00BF3931"/>
    <w:rsid w:val="00C01443"/>
    <w:rsid w:val="00C031F8"/>
    <w:rsid w:val="00C0762F"/>
    <w:rsid w:val="00C079B5"/>
    <w:rsid w:val="00C11791"/>
    <w:rsid w:val="00C124DA"/>
    <w:rsid w:val="00C13B20"/>
    <w:rsid w:val="00C13C80"/>
    <w:rsid w:val="00C15675"/>
    <w:rsid w:val="00C202E0"/>
    <w:rsid w:val="00C20521"/>
    <w:rsid w:val="00C26EB8"/>
    <w:rsid w:val="00C30F2A"/>
    <w:rsid w:val="00C3236B"/>
    <w:rsid w:val="00C331C0"/>
    <w:rsid w:val="00C340AE"/>
    <w:rsid w:val="00C348AE"/>
    <w:rsid w:val="00C36099"/>
    <w:rsid w:val="00C36AE6"/>
    <w:rsid w:val="00C3748C"/>
    <w:rsid w:val="00C420F6"/>
    <w:rsid w:val="00C423F0"/>
    <w:rsid w:val="00C43908"/>
    <w:rsid w:val="00C43940"/>
    <w:rsid w:val="00C44274"/>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371"/>
    <w:rsid w:val="00C725EE"/>
    <w:rsid w:val="00C72C94"/>
    <w:rsid w:val="00C72D1B"/>
    <w:rsid w:val="00C73073"/>
    <w:rsid w:val="00C731BD"/>
    <w:rsid w:val="00C76A78"/>
    <w:rsid w:val="00C771CB"/>
    <w:rsid w:val="00C8171E"/>
    <w:rsid w:val="00C82259"/>
    <w:rsid w:val="00C85101"/>
    <w:rsid w:val="00C85BB2"/>
    <w:rsid w:val="00C86054"/>
    <w:rsid w:val="00C86A48"/>
    <w:rsid w:val="00C86BD4"/>
    <w:rsid w:val="00C86CAD"/>
    <w:rsid w:val="00C874B5"/>
    <w:rsid w:val="00C87AF5"/>
    <w:rsid w:val="00C91D85"/>
    <w:rsid w:val="00C93A60"/>
    <w:rsid w:val="00C943FC"/>
    <w:rsid w:val="00C94621"/>
    <w:rsid w:val="00C970A0"/>
    <w:rsid w:val="00C97727"/>
    <w:rsid w:val="00CA10EA"/>
    <w:rsid w:val="00CA2B68"/>
    <w:rsid w:val="00CA37AE"/>
    <w:rsid w:val="00CA41EF"/>
    <w:rsid w:val="00CA77BC"/>
    <w:rsid w:val="00CB0852"/>
    <w:rsid w:val="00CB1112"/>
    <w:rsid w:val="00CB167A"/>
    <w:rsid w:val="00CB3CAB"/>
    <w:rsid w:val="00CB4995"/>
    <w:rsid w:val="00CB57B0"/>
    <w:rsid w:val="00CB6185"/>
    <w:rsid w:val="00CB660A"/>
    <w:rsid w:val="00CC1873"/>
    <w:rsid w:val="00CC23A1"/>
    <w:rsid w:val="00CC3B9F"/>
    <w:rsid w:val="00CC707D"/>
    <w:rsid w:val="00CD1101"/>
    <w:rsid w:val="00CD7552"/>
    <w:rsid w:val="00CE39DF"/>
    <w:rsid w:val="00CE484A"/>
    <w:rsid w:val="00CE5E86"/>
    <w:rsid w:val="00CE6699"/>
    <w:rsid w:val="00CE6F57"/>
    <w:rsid w:val="00CF317C"/>
    <w:rsid w:val="00CF32C4"/>
    <w:rsid w:val="00CF33C9"/>
    <w:rsid w:val="00CF3BCE"/>
    <w:rsid w:val="00CF494D"/>
    <w:rsid w:val="00CF793D"/>
    <w:rsid w:val="00D022DF"/>
    <w:rsid w:val="00D047E4"/>
    <w:rsid w:val="00D052B0"/>
    <w:rsid w:val="00D10FFE"/>
    <w:rsid w:val="00D1303A"/>
    <w:rsid w:val="00D13C85"/>
    <w:rsid w:val="00D1467B"/>
    <w:rsid w:val="00D1651A"/>
    <w:rsid w:val="00D20CDE"/>
    <w:rsid w:val="00D25DFA"/>
    <w:rsid w:val="00D260BF"/>
    <w:rsid w:val="00D31BFF"/>
    <w:rsid w:val="00D32929"/>
    <w:rsid w:val="00D3638F"/>
    <w:rsid w:val="00D367D4"/>
    <w:rsid w:val="00D3735F"/>
    <w:rsid w:val="00D37816"/>
    <w:rsid w:val="00D423A9"/>
    <w:rsid w:val="00D44CD7"/>
    <w:rsid w:val="00D45607"/>
    <w:rsid w:val="00D46354"/>
    <w:rsid w:val="00D46B66"/>
    <w:rsid w:val="00D50390"/>
    <w:rsid w:val="00D52FF4"/>
    <w:rsid w:val="00D568C3"/>
    <w:rsid w:val="00D60452"/>
    <w:rsid w:val="00D619AA"/>
    <w:rsid w:val="00D66749"/>
    <w:rsid w:val="00D673E0"/>
    <w:rsid w:val="00D676BF"/>
    <w:rsid w:val="00D72C21"/>
    <w:rsid w:val="00D73210"/>
    <w:rsid w:val="00D73474"/>
    <w:rsid w:val="00D74423"/>
    <w:rsid w:val="00D7450F"/>
    <w:rsid w:val="00D75993"/>
    <w:rsid w:val="00D80612"/>
    <w:rsid w:val="00D8145A"/>
    <w:rsid w:val="00D817B6"/>
    <w:rsid w:val="00D844E5"/>
    <w:rsid w:val="00D85BEE"/>
    <w:rsid w:val="00D86320"/>
    <w:rsid w:val="00D9101D"/>
    <w:rsid w:val="00D912B6"/>
    <w:rsid w:val="00D9158C"/>
    <w:rsid w:val="00D92632"/>
    <w:rsid w:val="00D9379F"/>
    <w:rsid w:val="00D947AD"/>
    <w:rsid w:val="00D95598"/>
    <w:rsid w:val="00DA2731"/>
    <w:rsid w:val="00DA27E0"/>
    <w:rsid w:val="00DA5FA6"/>
    <w:rsid w:val="00DA6794"/>
    <w:rsid w:val="00DA71FE"/>
    <w:rsid w:val="00DA7998"/>
    <w:rsid w:val="00DB0759"/>
    <w:rsid w:val="00DB0ACC"/>
    <w:rsid w:val="00DB1437"/>
    <w:rsid w:val="00DB23FB"/>
    <w:rsid w:val="00DB2CD4"/>
    <w:rsid w:val="00DB4659"/>
    <w:rsid w:val="00DB5F7B"/>
    <w:rsid w:val="00DC0C20"/>
    <w:rsid w:val="00DC1B98"/>
    <w:rsid w:val="00DC7270"/>
    <w:rsid w:val="00DD0BF1"/>
    <w:rsid w:val="00DD0F40"/>
    <w:rsid w:val="00DD2AD7"/>
    <w:rsid w:val="00DD2FC0"/>
    <w:rsid w:val="00DD441B"/>
    <w:rsid w:val="00DD4AEA"/>
    <w:rsid w:val="00DD6B48"/>
    <w:rsid w:val="00DE01C2"/>
    <w:rsid w:val="00DE043E"/>
    <w:rsid w:val="00DE3FCD"/>
    <w:rsid w:val="00DE73A0"/>
    <w:rsid w:val="00DF187A"/>
    <w:rsid w:val="00DF3619"/>
    <w:rsid w:val="00DF3F75"/>
    <w:rsid w:val="00DF56C0"/>
    <w:rsid w:val="00DF5FD5"/>
    <w:rsid w:val="00DF726C"/>
    <w:rsid w:val="00DF7F6C"/>
    <w:rsid w:val="00DF7FD0"/>
    <w:rsid w:val="00E00B65"/>
    <w:rsid w:val="00E01A44"/>
    <w:rsid w:val="00E0269A"/>
    <w:rsid w:val="00E0329E"/>
    <w:rsid w:val="00E03D0F"/>
    <w:rsid w:val="00E03D47"/>
    <w:rsid w:val="00E0403B"/>
    <w:rsid w:val="00E04313"/>
    <w:rsid w:val="00E04C33"/>
    <w:rsid w:val="00E05434"/>
    <w:rsid w:val="00E12138"/>
    <w:rsid w:val="00E13813"/>
    <w:rsid w:val="00E14949"/>
    <w:rsid w:val="00E17ABC"/>
    <w:rsid w:val="00E21610"/>
    <w:rsid w:val="00E24096"/>
    <w:rsid w:val="00E25CD4"/>
    <w:rsid w:val="00E25F6A"/>
    <w:rsid w:val="00E260FD"/>
    <w:rsid w:val="00E26CBF"/>
    <w:rsid w:val="00E27AEE"/>
    <w:rsid w:val="00E305F6"/>
    <w:rsid w:val="00E31079"/>
    <w:rsid w:val="00E31747"/>
    <w:rsid w:val="00E31DFC"/>
    <w:rsid w:val="00E3623A"/>
    <w:rsid w:val="00E378E4"/>
    <w:rsid w:val="00E37BF3"/>
    <w:rsid w:val="00E44EEF"/>
    <w:rsid w:val="00E45AF2"/>
    <w:rsid w:val="00E4663C"/>
    <w:rsid w:val="00E469E0"/>
    <w:rsid w:val="00E50248"/>
    <w:rsid w:val="00E5046E"/>
    <w:rsid w:val="00E510D2"/>
    <w:rsid w:val="00E5112E"/>
    <w:rsid w:val="00E52357"/>
    <w:rsid w:val="00E52A96"/>
    <w:rsid w:val="00E52F26"/>
    <w:rsid w:val="00E54EFB"/>
    <w:rsid w:val="00E54F31"/>
    <w:rsid w:val="00E573E6"/>
    <w:rsid w:val="00E57B53"/>
    <w:rsid w:val="00E62840"/>
    <w:rsid w:val="00E62F1E"/>
    <w:rsid w:val="00E638CA"/>
    <w:rsid w:val="00E63DF7"/>
    <w:rsid w:val="00E658B4"/>
    <w:rsid w:val="00E7037E"/>
    <w:rsid w:val="00E70637"/>
    <w:rsid w:val="00E71511"/>
    <w:rsid w:val="00E737D1"/>
    <w:rsid w:val="00E73FD5"/>
    <w:rsid w:val="00E743CF"/>
    <w:rsid w:val="00E747D5"/>
    <w:rsid w:val="00E75986"/>
    <w:rsid w:val="00E76725"/>
    <w:rsid w:val="00E81CE5"/>
    <w:rsid w:val="00E91F11"/>
    <w:rsid w:val="00E92D87"/>
    <w:rsid w:val="00E94E5A"/>
    <w:rsid w:val="00E9520E"/>
    <w:rsid w:val="00E9556A"/>
    <w:rsid w:val="00E955AA"/>
    <w:rsid w:val="00E96EA1"/>
    <w:rsid w:val="00E97876"/>
    <w:rsid w:val="00EA0361"/>
    <w:rsid w:val="00EA08BB"/>
    <w:rsid w:val="00EA0E57"/>
    <w:rsid w:val="00EA1529"/>
    <w:rsid w:val="00EA26F5"/>
    <w:rsid w:val="00EA272D"/>
    <w:rsid w:val="00EA37B1"/>
    <w:rsid w:val="00EA695A"/>
    <w:rsid w:val="00EB26AD"/>
    <w:rsid w:val="00EB307E"/>
    <w:rsid w:val="00EB589C"/>
    <w:rsid w:val="00EB5FD7"/>
    <w:rsid w:val="00EB6F86"/>
    <w:rsid w:val="00EB6FFC"/>
    <w:rsid w:val="00EC03C1"/>
    <w:rsid w:val="00EC04AD"/>
    <w:rsid w:val="00EC190D"/>
    <w:rsid w:val="00EC254F"/>
    <w:rsid w:val="00EC337D"/>
    <w:rsid w:val="00EC35D3"/>
    <w:rsid w:val="00EC51C7"/>
    <w:rsid w:val="00EC59E0"/>
    <w:rsid w:val="00EC5E1E"/>
    <w:rsid w:val="00EC71B0"/>
    <w:rsid w:val="00EC7424"/>
    <w:rsid w:val="00EC7CDC"/>
    <w:rsid w:val="00ED0F97"/>
    <w:rsid w:val="00ED2EE2"/>
    <w:rsid w:val="00ED3373"/>
    <w:rsid w:val="00ED75D2"/>
    <w:rsid w:val="00EE0692"/>
    <w:rsid w:val="00EE5005"/>
    <w:rsid w:val="00EE50F4"/>
    <w:rsid w:val="00EE5AE4"/>
    <w:rsid w:val="00EE5CB9"/>
    <w:rsid w:val="00EF05B0"/>
    <w:rsid w:val="00EF05CA"/>
    <w:rsid w:val="00EF2002"/>
    <w:rsid w:val="00F02B92"/>
    <w:rsid w:val="00F02E9C"/>
    <w:rsid w:val="00F04053"/>
    <w:rsid w:val="00F1010F"/>
    <w:rsid w:val="00F10840"/>
    <w:rsid w:val="00F11BA3"/>
    <w:rsid w:val="00F12623"/>
    <w:rsid w:val="00F12EBF"/>
    <w:rsid w:val="00F16285"/>
    <w:rsid w:val="00F21700"/>
    <w:rsid w:val="00F22028"/>
    <w:rsid w:val="00F31946"/>
    <w:rsid w:val="00F31E7D"/>
    <w:rsid w:val="00F329E0"/>
    <w:rsid w:val="00F32D11"/>
    <w:rsid w:val="00F33B78"/>
    <w:rsid w:val="00F344B6"/>
    <w:rsid w:val="00F354D7"/>
    <w:rsid w:val="00F41B4C"/>
    <w:rsid w:val="00F42921"/>
    <w:rsid w:val="00F42D62"/>
    <w:rsid w:val="00F44F7D"/>
    <w:rsid w:val="00F450DB"/>
    <w:rsid w:val="00F46977"/>
    <w:rsid w:val="00F5207E"/>
    <w:rsid w:val="00F52105"/>
    <w:rsid w:val="00F52871"/>
    <w:rsid w:val="00F52905"/>
    <w:rsid w:val="00F54752"/>
    <w:rsid w:val="00F54992"/>
    <w:rsid w:val="00F5593B"/>
    <w:rsid w:val="00F55DA6"/>
    <w:rsid w:val="00F56550"/>
    <w:rsid w:val="00F61453"/>
    <w:rsid w:val="00F62F06"/>
    <w:rsid w:val="00F64259"/>
    <w:rsid w:val="00F70415"/>
    <w:rsid w:val="00F70DD9"/>
    <w:rsid w:val="00F73D63"/>
    <w:rsid w:val="00F73EF7"/>
    <w:rsid w:val="00F745AD"/>
    <w:rsid w:val="00F75FD9"/>
    <w:rsid w:val="00F77391"/>
    <w:rsid w:val="00F821EB"/>
    <w:rsid w:val="00F84692"/>
    <w:rsid w:val="00F84926"/>
    <w:rsid w:val="00F87AE7"/>
    <w:rsid w:val="00F87B47"/>
    <w:rsid w:val="00F87F9E"/>
    <w:rsid w:val="00F90CBD"/>
    <w:rsid w:val="00F91E5E"/>
    <w:rsid w:val="00F96BD2"/>
    <w:rsid w:val="00F97E47"/>
    <w:rsid w:val="00FA1437"/>
    <w:rsid w:val="00FA19A7"/>
    <w:rsid w:val="00FA2FCC"/>
    <w:rsid w:val="00FB17EB"/>
    <w:rsid w:val="00FB1FD4"/>
    <w:rsid w:val="00FB34CE"/>
    <w:rsid w:val="00FB79DA"/>
    <w:rsid w:val="00FC0348"/>
    <w:rsid w:val="00FC2807"/>
    <w:rsid w:val="00FC36AA"/>
    <w:rsid w:val="00FC3917"/>
    <w:rsid w:val="00FC4A9F"/>
    <w:rsid w:val="00FC5AF1"/>
    <w:rsid w:val="00FC7485"/>
    <w:rsid w:val="00FC783A"/>
    <w:rsid w:val="00FC7A65"/>
    <w:rsid w:val="00FD4CB6"/>
    <w:rsid w:val="00FD5C73"/>
    <w:rsid w:val="00FD769F"/>
    <w:rsid w:val="00FE1825"/>
    <w:rsid w:val="00FE36D0"/>
    <w:rsid w:val="00FE512C"/>
    <w:rsid w:val="00FE5D82"/>
    <w:rsid w:val="00FF0543"/>
    <w:rsid w:val="00FF0CBC"/>
    <w:rsid w:val="00FF0E20"/>
    <w:rsid w:val="00FF3C24"/>
    <w:rsid w:val="00FF5C00"/>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4D6E180-EE32-4924-B2FB-CBA42A04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qFormat/>
    <w:rsid w:val="00454026"/>
    <w:pPr>
      <w:keepNext/>
      <w:tabs>
        <w:tab w:val="clear" w:pos="851"/>
      </w:tabs>
      <w:spacing w:before="240" w:after="240"/>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link w:val="FootnoteTextChar"/>
    <w:rsid w:val="007B06F3"/>
    <w:rPr>
      <w:szCs w:val="20"/>
    </w:rPr>
  </w:style>
  <w:style w:type="character" w:styleId="FootnoteReference">
    <w:name w:val="footnote reference"/>
    <w:semiHidden/>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paragraph" w:customStyle="1" w:styleId="NoteBullet0">
    <w:name w:val="Note Bullet 0"/>
    <w:basedOn w:val="NoteBullet"/>
    <w:qFormat/>
    <w:rsid w:val="00DF7F6C"/>
    <w:pPr>
      <w:ind w:left="425" w:hanging="425"/>
    </w:pPr>
  </w:style>
  <w:style w:type="paragraph" w:customStyle="1" w:styleId="Bullet0table">
    <w:name w:val="Bullet 0 (table)"/>
    <w:basedOn w:val="Bullet1"/>
    <w:qFormat/>
    <w:rsid w:val="00DF7F6C"/>
    <w:pPr>
      <w:ind w:left="425" w:hanging="425"/>
    </w:pPr>
  </w:style>
  <w:style w:type="paragraph" w:customStyle="1" w:styleId="table1">
    <w:name w:val="table1"/>
    <w:basedOn w:val="Normal"/>
    <w:rsid w:val="00C36AE6"/>
    <w:pPr>
      <w:tabs>
        <w:tab w:val="clear" w:pos="851"/>
      </w:tabs>
      <w:overflowPunct w:val="0"/>
      <w:autoSpaceDE w:val="0"/>
      <w:autoSpaceDN w:val="0"/>
      <w:adjustRightInd w:val="0"/>
      <w:spacing w:before="0" w:after="0"/>
      <w:jc w:val="both"/>
      <w:textAlignment w:val="baseline"/>
    </w:pPr>
    <w:rPr>
      <w:rFonts w:ascii="ClassGarmnd BT" w:hAnsi="ClassGarmnd BT"/>
      <w:szCs w:val="20"/>
      <w:lang w:val="en-GB"/>
    </w:rPr>
  </w:style>
  <w:style w:type="character" w:customStyle="1" w:styleId="FootnoteTextChar">
    <w:name w:val="Footnote Text Char"/>
    <w:link w:val="FootnoteText"/>
    <w:rsid w:val="00C36AE6"/>
    <w:rPr>
      <w:rFonts w:ascii="Arial" w:hAnsi="Arial"/>
      <w:lang w:eastAsia="en-US"/>
    </w:rPr>
  </w:style>
  <w:style w:type="paragraph" w:customStyle="1" w:styleId="NumberingLevel3">
    <w:name w:val="Numbering Level 3"/>
    <w:basedOn w:val="Normal"/>
    <w:qFormat/>
    <w:rsid w:val="00DF56C0"/>
    <w:pPr>
      <w:numPr>
        <w:numId w:val="65"/>
      </w:numPr>
      <w:tabs>
        <w:tab w:val="clear" w:pos="851"/>
      </w:tabs>
      <w:overflowPunct w:val="0"/>
      <w:autoSpaceDE w:val="0"/>
      <w:autoSpaceDN w:val="0"/>
      <w:adjustRightInd w:val="0"/>
      <w:textAlignment w:val="baseline"/>
    </w:pPr>
    <w:rPr>
      <w:rFonts w:ascii="Arial Narrow" w:hAnsi="Arial Narrow"/>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9F7B-DF91-4731-B186-48382057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ASX Listing Rules Appendix 5B - Mining exploration entity and oil and gas exploration entity quarterly report</vt:lpstr>
    </vt:vector>
  </TitlesOfParts>
  <Company>ASX</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5B - Mining exploration entity and oil and gas exploration entity quarterly report</dc:title>
  <dc:subject/>
  <dc:creator>ASX</dc:creator>
  <cp:keywords/>
  <dc:description/>
  <cp:lastModifiedBy>Josephine D'Aquino</cp:lastModifiedBy>
  <cp:revision>3</cp:revision>
  <cp:lastPrinted>2014-04-04T01:23:00Z</cp:lastPrinted>
  <dcterms:created xsi:type="dcterms:W3CDTF">2016-09-01T04:30:00Z</dcterms:created>
  <dcterms:modified xsi:type="dcterms:W3CDTF">2016-09-01T04:30:00Z</dcterms:modified>
</cp:coreProperties>
</file>