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7BB" w:rsidRPr="00835256" w:rsidRDefault="006D57BB" w:rsidP="006D57BB">
      <w:pPr>
        <w:pStyle w:val="Heading1"/>
        <w:spacing w:after="240"/>
        <w:ind w:left="0" w:firstLine="0"/>
        <w:rPr>
          <w:rFonts w:ascii="Arial Narrow" w:hAnsi="Arial Narrow"/>
        </w:rPr>
      </w:pPr>
      <w:bookmarkStart w:id="0" w:name="_GoBack"/>
      <w:bookmarkEnd w:id="0"/>
      <w:r w:rsidRPr="00835256">
        <w:rPr>
          <w:rFonts w:ascii="Arial Narrow" w:hAnsi="Arial Narrow"/>
        </w:rPr>
        <w:t>Information Form and Checklist</w:t>
      </w:r>
      <w:r w:rsidR="00447144">
        <w:rPr>
          <w:rFonts w:ascii="Arial Narrow" w:hAnsi="Arial Narrow"/>
        </w:rPr>
        <w:br/>
        <w:t>Annexure 1</w:t>
      </w:r>
      <w:r w:rsidR="002512D7" w:rsidRPr="00835256">
        <w:rPr>
          <w:rFonts w:ascii="Arial Narrow" w:hAnsi="Arial Narrow"/>
        </w:rPr>
        <w:t xml:space="preserve"> (Mining Entities)</w:t>
      </w:r>
    </w:p>
    <w:tbl>
      <w:tblPr>
        <w:tblW w:w="9072" w:type="dxa"/>
        <w:tblLayout w:type="fixed"/>
        <w:tblCellMar>
          <w:left w:w="0" w:type="dxa"/>
          <w:right w:w="0" w:type="dxa"/>
        </w:tblCellMar>
        <w:tblLook w:val="0000" w:firstRow="0" w:lastRow="0" w:firstColumn="0" w:lastColumn="0" w:noHBand="0" w:noVBand="0"/>
      </w:tblPr>
      <w:tblGrid>
        <w:gridCol w:w="5387"/>
        <w:gridCol w:w="142"/>
        <w:gridCol w:w="3543"/>
      </w:tblGrid>
      <w:tr w:rsidR="004B2CDC" w:rsidRPr="00835256" w:rsidTr="00753CBC">
        <w:tc>
          <w:tcPr>
            <w:tcW w:w="5387" w:type="dxa"/>
            <w:tcBorders>
              <w:top w:val="nil"/>
              <w:left w:val="nil"/>
              <w:bottom w:val="nil"/>
              <w:right w:val="nil"/>
            </w:tcBorders>
            <w:vAlign w:val="center"/>
          </w:tcPr>
          <w:p w:rsidR="004B2CDC" w:rsidRPr="00835256" w:rsidRDefault="004B2CDC" w:rsidP="00753CBC">
            <w:pPr>
              <w:pStyle w:val="Caption-BOX"/>
              <w:rPr>
                <w:rFonts w:ascii="Arial Narrow" w:hAnsi="Arial Narrow"/>
              </w:rPr>
            </w:pPr>
            <w:r w:rsidRPr="00835256">
              <w:rPr>
                <w:rFonts w:ascii="Arial Narrow" w:hAnsi="Arial Narrow"/>
              </w:rPr>
              <w:t>Name of entity</w:t>
            </w:r>
          </w:p>
        </w:tc>
        <w:tc>
          <w:tcPr>
            <w:tcW w:w="142" w:type="dxa"/>
            <w:tcBorders>
              <w:top w:val="nil"/>
              <w:left w:val="nil"/>
              <w:bottom w:val="nil"/>
              <w:right w:val="nil"/>
            </w:tcBorders>
            <w:vAlign w:val="center"/>
          </w:tcPr>
          <w:p w:rsidR="004B2CDC" w:rsidRPr="00835256" w:rsidRDefault="004B2CDC" w:rsidP="00753CBC">
            <w:pPr>
              <w:pStyle w:val="Caption-BOX"/>
              <w:rPr>
                <w:rFonts w:ascii="Arial Narrow" w:hAnsi="Arial Narrow"/>
              </w:rPr>
            </w:pPr>
          </w:p>
        </w:tc>
        <w:tc>
          <w:tcPr>
            <w:tcW w:w="3543" w:type="dxa"/>
            <w:tcBorders>
              <w:top w:val="nil"/>
              <w:left w:val="nil"/>
              <w:bottom w:val="nil"/>
              <w:right w:val="nil"/>
            </w:tcBorders>
            <w:vAlign w:val="center"/>
          </w:tcPr>
          <w:p w:rsidR="004B2CDC" w:rsidRPr="00835256" w:rsidRDefault="004B2CDC" w:rsidP="00753CBC">
            <w:pPr>
              <w:pStyle w:val="Caption-BOX"/>
              <w:rPr>
                <w:rFonts w:ascii="Arial Narrow" w:hAnsi="Arial Narrow"/>
              </w:rPr>
            </w:pPr>
            <w:r w:rsidRPr="00835256">
              <w:rPr>
                <w:rFonts w:ascii="Arial Narrow" w:hAnsi="Arial Narrow"/>
              </w:rPr>
              <w:t>ABN/</w:t>
            </w:r>
            <w:r w:rsidR="003845AA">
              <w:rPr>
                <w:rFonts w:ascii="Arial Narrow" w:hAnsi="Arial Narrow"/>
              </w:rPr>
              <w:t>ACN/</w:t>
            </w:r>
            <w:r w:rsidRPr="00835256">
              <w:rPr>
                <w:rFonts w:ascii="Arial Narrow" w:hAnsi="Arial Narrow"/>
              </w:rPr>
              <w:t>ARBN/ARSN</w:t>
            </w:r>
          </w:p>
        </w:tc>
      </w:tr>
      <w:tr w:rsidR="004B2CDC" w:rsidRPr="00835256" w:rsidTr="00753CBC">
        <w:trPr>
          <w:trHeight w:val="400"/>
        </w:trPr>
        <w:tc>
          <w:tcPr>
            <w:tcW w:w="5387" w:type="dxa"/>
            <w:tcBorders>
              <w:top w:val="single" w:sz="6" w:space="0" w:color="auto"/>
              <w:left w:val="single" w:sz="6" w:space="0" w:color="auto"/>
              <w:bottom w:val="single" w:sz="6" w:space="0" w:color="auto"/>
              <w:right w:val="single" w:sz="6" w:space="0" w:color="auto"/>
            </w:tcBorders>
            <w:vAlign w:val="center"/>
          </w:tcPr>
          <w:p w:rsidR="004B2CDC" w:rsidRPr="00835256" w:rsidRDefault="004B2CDC" w:rsidP="00753CBC">
            <w:pPr>
              <w:spacing w:before="120" w:after="120"/>
              <w:ind w:left="142" w:firstLine="0"/>
              <w:jc w:val="left"/>
              <w:rPr>
                <w:rFonts w:ascii="Arial Narrow" w:hAnsi="Arial Narrow"/>
                <w:b/>
              </w:rPr>
            </w:pPr>
          </w:p>
        </w:tc>
        <w:tc>
          <w:tcPr>
            <w:tcW w:w="142" w:type="dxa"/>
            <w:tcBorders>
              <w:top w:val="nil"/>
              <w:left w:val="nil"/>
              <w:bottom w:val="nil"/>
              <w:right w:val="nil"/>
            </w:tcBorders>
            <w:vAlign w:val="center"/>
          </w:tcPr>
          <w:p w:rsidR="004B2CDC" w:rsidRPr="00835256" w:rsidRDefault="004B2CDC" w:rsidP="00753CBC">
            <w:pPr>
              <w:spacing w:before="120" w:after="120"/>
              <w:ind w:left="0" w:firstLine="0"/>
              <w:jc w:val="left"/>
              <w:rPr>
                <w:rFonts w:ascii="Arial Narrow" w:hAnsi="Arial Narrow"/>
              </w:rPr>
            </w:pPr>
          </w:p>
        </w:tc>
        <w:tc>
          <w:tcPr>
            <w:tcW w:w="3543" w:type="dxa"/>
            <w:tcBorders>
              <w:top w:val="single" w:sz="6" w:space="0" w:color="auto"/>
              <w:left w:val="single" w:sz="6" w:space="0" w:color="auto"/>
              <w:bottom w:val="single" w:sz="6" w:space="0" w:color="auto"/>
              <w:right w:val="single" w:sz="6" w:space="0" w:color="auto"/>
            </w:tcBorders>
            <w:vAlign w:val="center"/>
          </w:tcPr>
          <w:p w:rsidR="004B2CDC" w:rsidRPr="00835256" w:rsidRDefault="004B2CDC" w:rsidP="00753CBC">
            <w:pPr>
              <w:spacing w:before="120" w:after="120"/>
              <w:ind w:left="141" w:firstLine="0"/>
              <w:jc w:val="left"/>
              <w:rPr>
                <w:rFonts w:ascii="Arial Narrow" w:hAnsi="Arial Narrow"/>
                <w:b/>
              </w:rPr>
            </w:pPr>
          </w:p>
        </w:tc>
      </w:tr>
    </w:tbl>
    <w:p w:rsidR="00EC393A" w:rsidRPr="00835256" w:rsidRDefault="00EC393A" w:rsidP="00EC393A">
      <w:pPr>
        <w:spacing w:before="240" w:after="120"/>
        <w:ind w:left="0" w:firstLine="0"/>
        <w:jc w:val="left"/>
        <w:rPr>
          <w:rFonts w:ascii="Arial Narrow" w:hAnsi="Arial Narrow"/>
          <w:b/>
        </w:rPr>
      </w:pPr>
      <w:r w:rsidRPr="00835256">
        <w:rPr>
          <w:rFonts w:ascii="Arial Narrow" w:hAnsi="Arial Narrow"/>
          <w:b/>
        </w:rPr>
        <w:t>This Annexure forms part of the Information Form and Checklist supplied by the entity named above to support its application for admission to the official list of ASX Limited (ASX) as an ASX Listing.</w:t>
      </w:r>
    </w:p>
    <w:p w:rsidR="00ED09EF" w:rsidRPr="006C594D" w:rsidRDefault="00ED09EF" w:rsidP="00EC393A">
      <w:pPr>
        <w:spacing w:after="240"/>
        <w:ind w:left="0" w:firstLine="0"/>
        <w:jc w:val="left"/>
        <w:rPr>
          <w:rFonts w:ascii="Arial Narrow" w:hAnsi="Arial Narrow"/>
          <w:i/>
          <w:color w:val="000000"/>
          <w:sz w:val="18"/>
          <w:szCs w:val="18"/>
          <w:lang w:val="en-AU"/>
        </w:rPr>
      </w:pPr>
      <w:r>
        <w:rPr>
          <w:rFonts w:ascii="Arial Narrow" w:hAnsi="Arial Narrow"/>
          <w:i/>
          <w:color w:val="000000"/>
          <w:sz w:val="18"/>
        </w:rPr>
        <w:t xml:space="preserve">A reference in this Annexure to </w:t>
      </w:r>
      <w:r w:rsidRPr="00ED09EF">
        <w:rPr>
          <w:rFonts w:ascii="Arial Narrow" w:hAnsi="Arial Narrow"/>
          <w:i/>
          <w:color w:val="000000"/>
          <w:sz w:val="18"/>
          <w:szCs w:val="18"/>
          <w:lang w:val="en-AU"/>
        </w:rPr>
        <w:t xml:space="preserve">JORC </w:t>
      </w:r>
      <w:r w:rsidR="006C594D">
        <w:rPr>
          <w:rFonts w:ascii="Arial Narrow" w:hAnsi="Arial Narrow"/>
          <w:i/>
          <w:color w:val="000000"/>
          <w:sz w:val="18"/>
          <w:szCs w:val="18"/>
          <w:lang w:val="en-AU"/>
        </w:rPr>
        <w:t>means</w:t>
      </w:r>
      <w:r w:rsidRPr="00ED09EF">
        <w:rPr>
          <w:rFonts w:ascii="Arial Narrow" w:hAnsi="Arial Narrow"/>
          <w:i/>
          <w:color w:val="000000"/>
          <w:sz w:val="18"/>
          <w:szCs w:val="18"/>
          <w:lang w:val="en-AU"/>
        </w:rPr>
        <w:t xml:space="preserve"> </w:t>
      </w:r>
      <w:r>
        <w:rPr>
          <w:rFonts w:ascii="Arial Narrow" w:hAnsi="Arial Narrow"/>
          <w:i/>
          <w:color w:val="000000"/>
          <w:sz w:val="18"/>
          <w:szCs w:val="18"/>
          <w:lang w:val="en-AU"/>
        </w:rPr>
        <w:t xml:space="preserve">the </w:t>
      </w:r>
      <w:r w:rsidRPr="00ED09EF">
        <w:rPr>
          <w:rFonts w:ascii="Arial Narrow" w:hAnsi="Arial Narrow"/>
          <w:i/>
          <w:color w:val="000000"/>
          <w:sz w:val="18"/>
          <w:szCs w:val="18"/>
          <w:lang w:val="en-AU"/>
        </w:rPr>
        <w:t>Australasian Code for Reporting Exploration Results, Mineral Resources and Ore Resources - 2012 Edition</w:t>
      </w:r>
      <w:r>
        <w:rPr>
          <w:rFonts w:ascii="Arial Narrow" w:hAnsi="Arial Narrow"/>
          <w:i/>
          <w:color w:val="000000"/>
          <w:sz w:val="18"/>
          <w:szCs w:val="18"/>
          <w:lang w:val="en-AU"/>
        </w:rPr>
        <w:t xml:space="preserve">, a copy of which is included in Annexure 5A of the Listing Rules. Terms </w:t>
      </w:r>
      <w:r w:rsidR="006C594D">
        <w:rPr>
          <w:rFonts w:ascii="Arial Narrow" w:hAnsi="Arial Narrow"/>
          <w:i/>
          <w:color w:val="000000"/>
          <w:sz w:val="18"/>
          <w:szCs w:val="18"/>
          <w:lang w:val="en-AU"/>
        </w:rPr>
        <w:t xml:space="preserve">used in this Annexure which are </w:t>
      </w:r>
      <w:r>
        <w:rPr>
          <w:rFonts w:ascii="Arial Narrow" w:hAnsi="Arial Narrow"/>
          <w:i/>
          <w:color w:val="000000"/>
          <w:sz w:val="18"/>
          <w:szCs w:val="18"/>
          <w:lang w:val="en-AU"/>
        </w:rPr>
        <w:t>defined in JORC (including</w:t>
      </w:r>
      <w:r w:rsidR="006C594D">
        <w:rPr>
          <w:rFonts w:ascii="Arial Narrow" w:hAnsi="Arial Narrow"/>
          <w:i/>
          <w:color w:val="000000"/>
          <w:sz w:val="18"/>
          <w:szCs w:val="18"/>
          <w:lang w:val="en-AU"/>
        </w:rPr>
        <w:t>, without limitation,</w:t>
      </w:r>
      <w:r>
        <w:rPr>
          <w:rFonts w:ascii="Arial Narrow" w:hAnsi="Arial Narrow"/>
          <w:i/>
          <w:color w:val="000000"/>
          <w:sz w:val="18"/>
          <w:szCs w:val="18"/>
          <w:lang w:val="en-AU"/>
        </w:rPr>
        <w:t xml:space="preserve"> </w:t>
      </w:r>
      <w:r w:rsidR="006C594D">
        <w:rPr>
          <w:rFonts w:ascii="Arial Narrow" w:hAnsi="Arial Narrow"/>
          <w:i/>
          <w:color w:val="000000"/>
          <w:sz w:val="18"/>
          <w:szCs w:val="18"/>
          <w:lang w:val="en-AU"/>
        </w:rPr>
        <w:t>‘</w:t>
      </w:r>
      <w:r w:rsidRPr="006C594D">
        <w:rPr>
          <w:rFonts w:ascii="Arial Narrow" w:hAnsi="Arial Narrow"/>
          <w:i/>
          <w:color w:val="000000"/>
          <w:sz w:val="18"/>
          <w:szCs w:val="18"/>
          <w:lang w:val="en-AU"/>
        </w:rPr>
        <w:t>exploration target</w:t>
      </w:r>
      <w:r w:rsidR="006C594D" w:rsidRPr="006C594D">
        <w:rPr>
          <w:rFonts w:ascii="Arial Narrow" w:hAnsi="Arial Narrow"/>
          <w:i/>
          <w:color w:val="000000"/>
          <w:sz w:val="18"/>
          <w:szCs w:val="18"/>
          <w:lang w:val="en-AU"/>
        </w:rPr>
        <w:t>’</w:t>
      </w:r>
      <w:r w:rsidRPr="006C594D">
        <w:rPr>
          <w:rFonts w:ascii="Arial Narrow" w:hAnsi="Arial Narrow"/>
          <w:i/>
          <w:color w:val="000000"/>
          <w:sz w:val="18"/>
          <w:szCs w:val="18"/>
          <w:lang w:val="en-AU"/>
        </w:rPr>
        <w:t>,</w:t>
      </w:r>
      <w:r w:rsidR="006C594D" w:rsidRPr="006C594D">
        <w:rPr>
          <w:rFonts w:ascii="Arial Narrow" w:hAnsi="Arial Narrow"/>
          <w:i/>
          <w:color w:val="000000"/>
          <w:sz w:val="18"/>
          <w:szCs w:val="18"/>
          <w:lang w:val="en-AU"/>
        </w:rPr>
        <w:t>’</w:t>
      </w:r>
      <w:r w:rsidRPr="006C594D">
        <w:rPr>
          <w:rFonts w:ascii="Arial Narrow" w:hAnsi="Arial Narrow"/>
          <w:i/>
          <w:color w:val="000000"/>
          <w:sz w:val="18"/>
          <w:szCs w:val="18"/>
          <w:lang w:val="en-AU"/>
        </w:rPr>
        <w:t xml:space="preserve"> exploration results</w:t>
      </w:r>
      <w:r w:rsidR="006C594D" w:rsidRPr="006C594D">
        <w:rPr>
          <w:rFonts w:ascii="Arial Narrow" w:hAnsi="Arial Narrow"/>
          <w:i/>
          <w:color w:val="000000"/>
          <w:sz w:val="18"/>
          <w:szCs w:val="18"/>
          <w:lang w:val="en-AU"/>
        </w:rPr>
        <w:t>’,’</w:t>
      </w:r>
      <w:r w:rsidRPr="006C594D">
        <w:rPr>
          <w:rFonts w:ascii="Arial Narrow" w:hAnsi="Arial Narrow"/>
          <w:i/>
          <w:color w:val="000000"/>
          <w:sz w:val="18"/>
          <w:szCs w:val="18"/>
          <w:lang w:val="en-AU"/>
        </w:rPr>
        <w:t xml:space="preserve"> mineral resource</w:t>
      </w:r>
      <w:r w:rsidR="006C594D" w:rsidRPr="006C594D">
        <w:rPr>
          <w:rFonts w:ascii="Arial Narrow" w:hAnsi="Arial Narrow"/>
          <w:i/>
          <w:color w:val="000000"/>
          <w:sz w:val="18"/>
          <w:szCs w:val="18"/>
          <w:lang w:val="en-AU"/>
        </w:rPr>
        <w:t>’,</w:t>
      </w:r>
      <w:r w:rsidRPr="006C594D">
        <w:rPr>
          <w:rFonts w:ascii="Arial Narrow" w:hAnsi="Arial Narrow"/>
          <w:i/>
          <w:color w:val="000000"/>
          <w:sz w:val="18"/>
          <w:szCs w:val="18"/>
          <w:lang w:val="en-AU"/>
        </w:rPr>
        <w:t xml:space="preserve"> </w:t>
      </w:r>
      <w:r w:rsidR="006C594D" w:rsidRPr="006C594D">
        <w:rPr>
          <w:rFonts w:ascii="Arial Narrow" w:hAnsi="Arial Narrow"/>
          <w:i/>
          <w:color w:val="000000"/>
          <w:sz w:val="18"/>
          <w:szCs w:val="18"/>
          <w:lang w:val="en-AU"/>
        </w:rPr>
        <w:t>‘</w:t>
      </w:r>
      <w:r w:rsidRPr="006C594D">
        <w:rPr>
          <w:rFonts w:ascii="Arial Narrow" w:hAnsi="Arial Narrow"/>
          <w:i/>
          <w:color w:val="000000"/>
          <w:sz w:val="18"/>
          <w:szCs w:val="18"/>
          <w:lang w:val="en-AU"/>
        </w:rPr>
        <w:t>ore reserve</w:t>
      </w:r>
      <w:r w:rsidR="006C594D" w:rsidRPr="006C594D">
        <w:rPr>
          <w:rFonts w:ascii="Arial Narrow" w:hAnsi="Arial Narrow"/>
          <w:i/>
          <w:color w:val="000000"/>
          <w:sz w:val="18"/>
          <w:szCs w:val="18"/>
          <w:lang w:val="en-AU"/>
        </w:rPr>
        <w:t>’ and ‘competent perso</w:t>
      </w:r>
      <w:r w:rsidR="006C594D">
        <w:rPr>
          <w:rFonts w:ascii="Arial Narrow" w:hAnsi="Arial Narrow"/>
          <w:i/>
          <w:color w:val="000000"/>
          <w:sz w:val="18"/>
          <w:szCs w:val="18"/>
          <w:lang w:val="en-AU"/>
        </w:rPr>
        <w:t>n’</w:t>
      </w:r>
      <w:r w:rsidR="006C594D" w:rsidRPr="006C594D">
        <w:rPr>
          <w:rFonts w:ascii="Arial Narrow" w:hAnsi="Arial Narrow"/>
          <w:i/>
          <w:color w:val="000000"/>
          <w:sz w:val="18"/>
          <w:szCs w:val="18"/>
          <w:lang w:val="en-AU"/>
        </w:rPr>
        <w:t>) have the same meaning as in JORC</w:t>
      </w:r>
      <w:r w:rsidRPr="006C594D">
        <w:rPr>
          <w:rFonts w:ascii="Arial Narrow" w:hAnsi="Arial Narrow"/>
          <w:i/>
          <w:color w:val="000000"/>
          <w:sz w:val="18"/>
          <w:szCs w:val="18"/>
          <w:lang w:val="en-AU"/>
        </w:rPr>
        <w:t>.</w:t>
      </w:r>
    </w:p>
    <w:tbl>
      <w:tblPr>
        <w:tblW w:w="9072" w:type="dxa"/>
        <w:tblLayout w:type="fixed"/>
        <w:tblCellMar>
          <w:left w:w="0" w:type="dxa"/>
          <w:right w:w="0" w:type="dxa"/>
        </w:tblCellMar>
        <w:tblLook w:val="0000" w:firstRow="0" w:lastRow="0" w:firstColumn="0" w:lastColumn="0" w:noHBand="0" w:noVBand="0"/>
      </w:tblPr>
      <w:tblGrid>
        <w:gridCol w:w="284"/>
        <w:gridCol w:w="5670"/>
        <w:gridCol w:w="3118"/>
      </w:tblGrid>
      <w:tr w:rsidR="00EB501A" w:rsidRPr="00835256" w:rsidTr="0072155E">
        <w:trPr>
          <w:cantSplit/>
          <w:tblHeader/>
        </w:trPr>
        <w:tc>
          <w:tcPr>
            <w:tcW w:w="284" w:type="dxa"/>
            <w:tcBorders>
              <w:top w:val="nil"/>
              <w:left w:val="nil"/>
              <w:bottom w:val="nil"/>
              <w:right w:val="nil"/>
            </w:tcBorders>
            <w:vAlign w:val="bottom"/>
          </w:tcPr>
          <w:p w:rsidR="00EB501A" w:rsidRPr="00835256" w:rsidRDefault="00EB501A" w:rsidP="00183E81">
            <w:pPr>
              <w:tabs>
                <w:tab w:val="left" w:pos="150"/>
              </w:tabs>
              <w:ind w:left="397" w:hanging="397"/>
              <w:jc w:val="left"/>
              <w:rPr>
                <w:rFonts w:ascii="Arial Narrow" w:hAnsi="Arial Narrow"/>
                <w:sz w:val="20"/>
              </w:rPr>
            </w:pPr>
            <w:r w:rsidRPr="00835256">
              <w:rPr>
                <w:rFonts w:ascii="Arial Narrow" w:hAnsi="Arial Narrow"/>
                <w:sz w:val="20"/>
              </w:rPr>
              <w:t>N</w:t>
            </w:r>
            <w:r w:rsidRPr="00835256">
              <w:rPr>
                <w:rFonts w:ascii="Arial Narrow" w:hAnsi="Arial Narrow"/>
                <w:sz w:val="20"/>
                <w:vertAlign w:val="superscript"/>
              </w:rPr>
              <w:t>o</w:t>
            </w:r>
          </w:p>
        </w:tc>
        <w:tc>
          <w:tcPr>
            <w:tcW w:w="5670" w:type="dxa"/>
            <w:tcBorders>
              <w:top w:val="nil"/>
              <w:left w:val="nil"/>
              <w:bottom w:val="nil"/>
              <w:right w:val="nil"/>
            </w:tcBorders>
            <w:tcMar>
              <w:right w:w="85" w:type="dxa"/>
            </w:tcMar>
            <w:vAlign w:val="bottom"/>
          </w:tcPr>
          <w:p w:rsidR="00EB501A" w:rsidRPr="00835256" w:rsidRDefault="00EB501A" w:rsidP="00183E81">
            <w:pPr>
              <w:ind w:left="0" w:firstLine="0"/>
              <w:jc w:val="left"/>
              <w:rPr>
                <w:rFonts w:ascii="Arial Narrow" w:hAnsi="Arial Narrow"/>
                <w:sz w:val="20"/>
              </w:rPr>
            </w:pPr>
            <w:r w:rsidRPr="00835256">
              <w:rPr>
                <w:rFonts w:ascii="Arial Narrow" w:hAnsi="Arial Narrow"/>
                <w:sz w:val="20"/>
              </w:rPr>
              <w:t>Item</w:t>
            </w:r>
          </w:p>
        </w:tc>
        <w:tc>
          <w:tcPr>
            <w:tcW w:w="3118" w:type="dxa"/>
            <w:tcBorders>
              <w:top w:val="nil"/>
              <w:left w:val="nil"/>
              <w:right w:val="nil"/>
            </w:tcBorders>
            <w:tcMar>
              <w:left w:w="0" w:type="dxa"/>
              <w:right w:w="0" w:type="dxa"/>
            </w:tcMar>
            <w:vAlign w:val="bottom"/>
          </w:tcPr>
          <w:p w:rsidR="00EB501A" w:rsidRPr="00835256" w:rsidRDefault="00EB501A" w:rsidP="00183E81">
            <w:pPr>
              <w:ind w:left="0" w:firstLine="0"/>
              <w:jc w:val="left"/>
              <w:rPr>
                <w:rFonts w:ascii="Arial Narrow" w:hAnsi="Arial Narrow"/>
                <w:sz w:val="20"/>
              </w:rPr>
            </w:pPr>
            <w:r w:rsidRPr="00835256">
              <w:rPr>
                <w:rFonts w:ascii="Arial Narrow" w:hAnsi="Arial Narrow"/>
                <w:sz w:val="20"/>
              </w:rPr>
              <w:t>Location/Confirmation</w:t>
            </w:r>
          </w:p>
        </w:tc>
      </w:tr>
      <w:tr w:rsidR="00EB501A" w:rsidRPr="00835256" w:rsidTr="0072155E">
        <w:trPr>
          <w:cantSplit/>
        </w:trPr>
        <w:tc>
          <w:tcPr>
            <w:tcW w:w="9072" w:type="dxa"/>
            <w:gridSpan w:val="3"/>
            <w:tcBorders>
              <w:top w:val="nil"/>
              <w:left w:val="nil"/>
              <w:bottom w:val="nil"/>
            </w:tcBorders>
            <w:tcMar>
              <w:left w:w="0" w:type="dxa"/>
              <w:right w:w="0" w:type="dxa"/>
            </w:tcMar>
          </w:tcPr>
          <w:p w:rsidR="00EB501A" w:rsidRPr="00835256" w:rsidRDefault="009153D8" w:rsidP="00835256">
            <w:pPr>
              <w:pStyle w:val="Heading4"/>
              <w:keepNext/>
              <w:spacing w:before="120" w:after="120"/>
              <w:jc w:val="left"/>
              <w:rPr>
                <w:rFonts w:ascii="Arial Narrow" w:hAnsi="Arial Narrow"/>
              </w:rPr>
            </w:pPr>
            <w:r w:rsidRPr="00835256">
              <w:rPr>
                <w:rFonts w:ascii="Arial Narrow" w:hAnsi="Arial Narrow"/>
              </w:rPr>
              <w:t>G</w:t>
            </w:r>
            <w:r w:rsidR="00EB501A" w:rsidRPr="00835256">
              <w:rPr>
                <w:rFonts w:ascii="Arial Narrow" w:hAnsi="Arial Narrow"/>
              </w:rPr>
              <w:t>eneral</w:t>
            </w:r>
            <w:r w:rsidRPr="00835256">
              <w:rPr>
                <w:rFonts w:ascii="Arial Narrow" w:hAnsi="Arial Narrow"/>
              </w:rPr>
              <w:t xml:space="preserve"> requirements</w:t>
            </w:r>
          </w:p>
          <w:p w:rsidR="00EB501A" w:rsidRPr="00835256" w:rsidRDefault="00EB501A" w:rsidP="00183E81">
            <w:pPr>
              <w:pStyle w:val="Heading2"/>
              <w:spacing w:after="120"/>
              <w:jc w:val="left"/>
              <w:rPr>
                <w:rFonts w:ascii="Arial Narrow" w:hAnsi="Arial Narrow"/>
              </w:rPr>
            </w:pPr>
            <w:r w:rsidRPr="00835256">
              <w:rPr>
                <w:rFonts w:ascii="Arial Narrow" w:hAnsi="Arial Narrow"/>
                <w:b w:val="0"/>
                <w:i/>
                <w:color w:val="000000"/>
                <w:sz w:val="18"/>
              </w:rPr>
              <w:t xml:space="preserve">Complete this section if the Offer Document includes any reference to </w:t>
            </w:r>
            <w:r w:rsidR="009153D8" w:rsidRPr="00835256">
              <w:rPr>
                <w:rFonts w:ascii="Arial Narrow" w:hAnsi="Arial Narrow"/>
                <w:b w:val="0"/>
                <w:i/>
                <w:color w:val="000000"/>
                <w:sz w:val="18"/>
              </w:rPr>
              <w:t xml:space="preserve">an exploration target, </w:t>
            </w:r>
            <w:r w:rsidRPr="00835256">
              <w:rPr>
                <w:rFonts w:ascii="Arial Narrow" w:hAnsi="Arial Narrow"/>
                <w:b w:val="0"/>
                <w:i/>
                <w:color w:val="000000"/>
                <w:sz w:val="18"/>
              </w:rPr>
              <w:t>exploration results or estimates of mineral resources or ore reserves</w:t>
            </w:r>
            <w:r w:rsidR="009153D8" w:rsidRPr="00835256">
              <w:rPr>
                <w:rFonts w:ascii="Arial Narrow" w:hAnsi="Arial Narrow"/>
                <w:b w:val="0"/>
                <w:i/>
                <w:color w:val="000000"/>
                <w:sz w:val="18"/>
              </w:rPr>
              <w:t>.</w:t>
            </w:r>
          </w:p>
        </w:tc>
      </w:tr>
      <w:tr w:rsidR="00EB501A" w:rsidRPr="00835256" w:rsidTr="0072155E">
        <w:trPr>
          <w:cantSplit/>
        </w:trPr>
        <w:tc>
          <w:tcPr>
            <w:tcW w:w="284" w:type="dxa"/>
            <w:tcBorders>
              <w:top w:val="nil"/>
              <w:left w:val="nil"/>
              <w:bottom w:val="nil"/>
              <w:right w:val="nil"/>
            </w:tcBorders>
          </w:tcPr>
          <w:p w:rsidR="00EB501A" w:rsidRPr="00835256" w:rsidRDefault="00EB501A" w:rsidP="00183E8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EB501A" w:rsidRPr="00835256" w:rsidRDefault="00EB501A"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Where in the Offer Document does it state that the </w:t>
            </w:r>
            <w:r w:rsidR="009153D8" w:rsidRPr="00835256">
              <w:rPr>
                <w:rFonts w:ascii="Arial Narrow" w:hAnsi="Arial Narrow"/>
                <w:color w:val="000000"/>
                <w:sz w:val="20"/>
                <w:lang w:val="en-AU"/>
              </w:rPr>
              <w:t xml:space="preserve">exploration target, exploration results or estimates of mineral </w:t>
            </w:r>
            <w:r w:rsidRPr="00835256">
              <w:rPr>
                <w:rFonts w:ascii="Arial Narrow" w:hAnsi="Arial Narrow"/>
                <w:color w:val="000000"/>
                <w:sz w:val="20"/>
                <w:lang w:val="en-AU"/>
              </w:rPr>
              <w:t xml:space="preserve">resources </w:t>
            </w:r>
            <w:r w:rsidR="009153D8" w:rsidRPr="00835256">
              <w:rPr>
                <w:rFonts w:ascii="Arial Narrow" w:hAnsi="Arial Narrow"/>
                <w:color w:val="000000"/>
                <w:sz w:val="20"/>
                <w:lang w:val="en-AU"/>
              </w:rPr>
              <w:t xml:space="preserve">or ore reserves (as the case may be) </w:t>
            </w:r>
            <w:r w:rsidRPr="00835256">
              <w:rPr>
                <w:rFonts w:ascii="Arial Narrow" w:hAnsi="Arial Narrow"/>
                <w:color w:val="000000"/>
                <w:sz w:val="20"/>
                <w:lang w:val="en-AU"/>
              </w:rPr>
              <w:t>have been</w:t>
            </w:r>
            <w:r w:rsidR="009153D8" w:rsidRPr="00835256">
              <w:rPr>
                <w:rFonts w:ascii="Arial Narrow" w:hAnsi="Arial Narrow"/>
                <w:color w:val="000000"/>
                <w:sz w:val="20"/>
                <w:lang w:val="en-AU"/>
              </w:rPr>
              <w:t xml:space="preserve"> prepared and</w:t>
            </w:r>
            <w:r w:rsidRPr="00835256">
              <w:rPr>
                <w:rFonts w:ascii="Arial Narrow" w:hAnsi="Arial Narrow"/>
                <w:color w:val="000000"/>
                <w:sz w:val="20"/>
                <w:lang w:val="en-AU"/>
              </w:rPr>
              <w:t xml:space="preserve"> </w:t>
            </w:r>
            <w:r w:rsidR="009153D8" w:rsidRPr="00835256">
              <w:rPr>
                <w:rFonts w:ascii="Arial Narrow" w:hAnsi="Arial Narrow"/>
                <w:color w:val="000000"/>
                <w:sz w:val="20"/>
                <w:lang w:val="en-AU"/>
              </w:rPr>
              <w:t xml:space="preserve">reported </w:t>
            </w:r>
            <w:r w:rsidRPr="00835256">
              <w:rPr>
                <w:rFonts w:ascii="Arial Narrow" w:hAnsi="Arial Narrow"/>
                <w:color w:val="000000"/>
                <w:sz w:val="20"/>
                <w:lang w:val="en-AU"/>
              </w:rPr>
              <w:t>in accordance with JORC (Listing Rule 5.</w:t>
            </w:r>
            <w:r w:rsidR="009153D8" w:rsidRPr="00835256">
              <w:rPr>
                <w:rFonts w:ascii="Arial Narrow" w:hAnsi="Arial Narrow"/>
                <w:color w:val="000000"/>
                <w:sz w:val="20"/>
                <w:lang w:val="en-AU"/>
              </w:rPr>
              <w:t>6</w:t>
            </w:r>
            <w:r w:rsidRPr="00835256">
              <w:rPr>
                <w:rFonts w:ascii="Arial Narrow" w:hAnsi="Arial Narrow"/>
                <w:color w:val="000000"/>
                <w:sz w:val="20"/>
                <w:lang w:val="en-AU"/>
              </w:rPr>
              <w:t>)?</w:t>
            </w:r>
            <w:r w:rsidRPr="00710666">
              <w:rPr>
                <w:rStyle w:val="FootnoteReference"/>
                <w:rFonts w:ascii="Arial Narrow" w:hAnsi="Arial Narrow"/>
                <w:position w:val="0"/>
                <w:sz w:val="20"/>
                <w:vertAlign w:val="superscript"/>
              </w:rPr>
              <w:footnoteReference w:id="2"/>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B501A" w:rsidRPr="00835256" w:rsidRDefault="00EB501A" w:rsidP="00183E81">
            <w:pPr>
              <w:pStyle w:val="boxstyle"/>
              <w:jc w:val="left"/>
              <w:rPr>
                <w:rFonts w:ascii="Arial Narrow" w:hAnsi="Arial Narrow"/>
              </w:rPr>
            </w:pPr>
          </w:p>
        </w:tc>
      </w:tr>
      <w:tr w:rsidR="00EB501A" w:rsidRPr="00835256" w:rsidTr="0072155E">
        <w:trPr>
          <w:cantSplit/>
        </w:trPr>
        <w:tc>
          <w:tcPr>
            <w:tcW w:w="284" w:type="dxa"/>
            <w:tcBorders>
              <w:top w:val="nil"/>
              <w:left w:val="nil"/>
              <w:bottom w:val="nil"/>
              <w:right w:val="nil"/>
            </w:tcBorders>
          </w:tcPr>
          <w:p w:rsidR="00EB501A" w:rsidRPr="00835256" w:rsidRDefault="00EB501A" w:rsidP="00183E8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EB501A" w:rsidRPr="00835256" w:rsidRDefault="00EB501A" w:rsidP="00183E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EB501A" w:rsidRPr="00835256" w:rsidRDefault="00EB501A" w:rsidP="00183E81">
            <w:pPr>
              <w:ind w:left="0" w:firstLine="0"/>
              <w:jc w:val="left"/>
              <w:rPr>
                <w:rFonts w:ascii="Arial Narrow" w:hAnsi="Arial Narrow"/>
                <w:sz w:val="20"/>
              </w:rPr>
            </w:pPr>
          </w:p>
        </w:tc>
      </w:tr>
      <w:tr w:rsidR="00EB501A" w:rsidRPr="00835256" w:rsidTr="0072155E">
        <w:trPr>
          <w:cantSplit/>
        </w:trPr>
        <w:tc>
          <w:tcPr>
            <w:tcW w:w="284" w:type="dxa"/>
            <w:tcBorders>
              <w:top w:val="nil"/>
              <w:left w:val="nil"/>
              <w:bottom w:val="nil"/>
              <w:right w:val="nil"/>
            </w:tcBorders>
          </w:tcPr>
          <w:p w:rsidR="00EB501A" w:rsidRPr="00835256" w:rsidRDefault="00EB501A" w:rsidP="00183E8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D4693D" w:rsidRPr="00D4693D" w:rsidRDefault="00EB501A" w:rsidP="009F652F">
            <w:pPr>
              <w:overflowPunct/>
              <w:ind w:left="0" w:firstLine="0"/>
              <w:jc w:val="left"/>
              <w:textAlignment w:val="auto"/>
              <w:rPr>
                <w:rFonts w:ascii="Arial Narrow" w:hAnsi="Arial Narrow"/>
                <w:color w:val="000000"/>
                <w:sz w:val="20"/>
                <w:lang w:val="en-AU"/>
              </w:rPr>
            </w:pPr>
            <w:r w:rsidRPr="00D4693D">
              <w:rPr>
                <w:rFonts w:ascii="Arial Narrow" w:hAnsi="Arial Narrow"/>
                <w:color w:val="000000"/>
                <w:sz w:val="20"/>
                <w:lang w:val="en-AU"/>
              </w:rPr>
              <w:t>Where in the Offer Document does it state</w:t>
            </w:r>
            <w:r w:rsidR="00D4693D" w:rsidRPr="00D4693D">
              <w:rPr>
                <w:rFonts w:ascii="Arial Narrow" w:hAnsi="Arial Narrow"/>
                <w:color w:val="000000"/>
                <w:sz w:val="20"/>
                <w:lang w:val="en-AU"/>
              </w:rPr>
              <w:t>:</w:t>
            </w:r>
          </w:p>
          <w:p w:rsidR="00D4693D" w:rsidRPr="00D4693D" w:rsidRDefault="00D4693D" w:rsidP="00D4693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D4693D">
              <w:rPr>
                <w:rFonts w:ascii="Arial Narrow" w:hAnsi="Arial Narrow"/>
                <w:color w:val="000000"/>
                <w:sz w:val="20"/>
                <w:lang w:val="en-AU"/>
              </w:rPr>
              <w:t>that the exploration target, exploration results or estimates of mineral resources or ore reserves (as the case may be) are based on, and fairly represent, information and supporting documentation prepared by a named competent person</w:t>
            </w:r>
            <w:r w:rsidR="00592D86" w:rsidRPr="00710666">
              <w:rPr>
                <w:rStyle w:val="FootnoteReference"/>
                <w:rFonts w:ascii="Arial Narrow" w:hAnsi="Arial Narrow"/>
                <w:position w:val="0"/>
                <w:sz w:val="20"/>
                <w:vertAlign w:val="superscript"/>
              </w:rPr>
              <w:footnoteReference w:id="3"/>
            </w:r>
            <w:r w:rsidRPr="00D4693D">
              <w:rPr>
                <w:rFonts w:ascii="Arial Narrow" w:hAnsi="Arial Narrow"/>
                <w:color w:val="000000"/>
                <w:sz w:val="20"/>
                <w:lang w:val="en-AU"/>
              </w:rPr>
              <w:t xml:space="preserve"> or persons</w:t>
            </w:r>
            <w:r>
              <w:rPr>
                <w:rFonts w:ascii="Arial Narrow" w:hAnsi="Arial Narrow"/>
                <w:color w:val="000000"/>
                <w:sz w:val="20"/>
                <w:lang w:val="en-AU"/>
              </w:rPr>
              <w:t xml:space="preserve"> </w:t>
            </w:r>
            <w:r w:rsidRPr="00835256">
              <w:rPr>
                <w:rFonts w:ascii="Arial Narrow" w:hAnsi="Arial Narrow"/>
                <w:color w:val="000000"/>
                <w:sz w:val="20"/>
                <w:lang w:val="en-AU"/>
              </w:rPr>
              <w:t>(Listing Rule 5.22(</w:t>
            </w:r>
            <w:r>
              <w:rPr>
                <w:rFonts w:ascii="Arial Narrow" w:hAnsi="Arial Narrow"/>
                <w:color w:val="000000"/>
                <w:sz w:val="20"/>
                <w:lang w:val="en-AU"/>
              </w:rPr>
              <w:t>a</w:t>
            </w:r>
            <w:r w:rsidRPr="00835256">
              <w:rPr>
                <w:rFonts w:ascii="Arial Narrow" w:hAnsi="Arial Narrow"/>
                <w:color w:val="000000"/>
                <w:sz w:val="20"/>
                <w:lang w:val="en-AU"/>
              </w:rPr>
              <w:t>) for material mining projects and JORC clause 9 for other projects)</w:t>
            </w:r>
            <w:r w:rsidRPr="00D4693D">
              <w:rPr>
                <w:rFonts w:ascii="Arial Narrow" w:hAnsi="Arial Narrow"/>
                <w:color w:val="000000"/>
                <w:sz w:val="20"/>
                <w:lang w:val="en-AU"/>
              </w:rPr>
              <w:t>;</w:t>
            </w:r>
          </w:p>
          <w:p w:rsidR="00D4693D" w:rsidRDefault="00D4693D" w:rsidP="00D4693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lastRenderedPageBreak/>
              <w:t>whether the competent person is an employee of the mining entity or a related party and, if not, the name of the competent person’s employer (Listing Rule 5.22(b) for material mining projects and JORC clause 9 for other projects)?</w:t>
            </w:r>
          </w:p>
          <w:p w:rsidR="00D4693D" w:rsidRPr="00D4693D" w:rsidRDefault="00D4693D" w:rsidP="00D4693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D4693D">
              <w:rPr>
                <w:rFonts w:ascii="Arial Narrow" w:hAnsi="Arial Narrow"/>
                <w:color w:val="000000"/>
                <w:sz w:val="20"/>
                <w:lang w:val="en-AU"/>
              </w:rPr>
              <w:t>the name of the professional organisation of which the competent person is a member (Listing Rule 5.22(c) for material mining projects and JORC clauses 9 and 11 for other projects); and</w:t>
            </w:r>
          </w:p>
          <w:p w:rsidR="00EB501A" w:rsidRPr="00D4693D" w:rsidRDefault="00D4693D" w:rsidP="0050209D">
            <w:pPr>
              <w:numPr>
                <w:ilvl w:val="0"/>
                <w:numId w:val="21"/>
              </w:numPr>
              <w:overflowPunct/>
              <w:autoSpaceDE/>
              <w:autoSpaceDN/>
              <w:adjustRightInd/>
              <w:ind w:left="284" w:hanging="284"/>
              <w:jc w:val="left"/>
              <w:textAlignment w:val="auto"/>
              <w:rPr>
                <w:rFonts w:ascii="Arial Narrow" w:hAnsi="Arial Narrow"/>
                <w:color w:val="000000"/>
                <w:sz w:val="20"/>
                <w:lang w:val="en-AU"/>
              </w:rPr>
            </w:pPr>
            <w:r w:rsidRPr="00D4693D">
              <w:rPr>
                <w:rFonts w:ascii="Arial Narrow" w:hAnsi="Arial Narrow"/>
                <w:color w:val="000000"/>
                <w:sz w:val="20"/>
                <w:lang w:val="en-AU"/>
              </w:rPr>
              <w:t xml:space="preserve">that the competent person has given his or her prior written consent as to the form and context in which the exploration target, exploration results or estimates of mineral resources or ore reserves (as the case may be) and the supporting information are presented in the </w:t>
            </w:r>
            <w:r>
              <w:rPr>
                <w:rFonts w:ascii="Arial Narrow" w:hAnsi="Arial Narrow"/>
                <w:color w:val="000000"/>
                <w:sz w:val="20"/>
                <w:lang w:val="en-AU"/>
              </w:rPr>
              <w:t>Offer Document</w:t>
            </w:r>
            <w:r w:rsidRPr="00D4693D">
              <w:rPr>
                <w:rFonts w:ascii="Arial Narrow" w:hAnsi="Arial Narrow"/>
                <w:color w:val="000000"/>
                <w:sz w:val="20"/>
                <w:lang w:val="en-AU"/>
              </w:rPr>
              <w:t xml:space="preserve"> (Listing Rule 5.22 for material mining projects and JORC clause 9 for other projects)?</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B501A" w:rsidRPr="00835256" w:rsidRDefault="00EB501A" w:rsidP="00183E81">
            <w:pPr>
              <w:pStyle w:val="boxstyle"/>
              <w:jc w:val="left"/>
              <w:rPr>
                <w:rFonts w:ascii="Arial Narrow" w:hAnsi="Arial Narrow"/>
                <w:highlight w:val="yellow"/>
              </w:rPr>
            </w:pPr>
          </w:p>
        </w:tc>
      </w:tr>
      <w:tr w:rsidR="00EB501A" w:rsidRPr="00835256" w:rsidTr="0072155E">
        <w:trPr>
          <w:cantSplit/>
        </w:trPr>
        <w:tc>
          <w:tcPr>
            <w:tcW w:w="284" w:type="dxa"/>
            <w:tcBorders>
              <w:top w:val="nil"/>
              <w:left w:val="nil"/>
              <w:bottom w:val="nil"/>
              <w:right w:val="nil"/>
            </w:tcBorders>
          </w:tcPr>
          <w:p w:rsidR="00EB501A" w:rsidRPr="00835256" w:rsidRDefault="00EB501A" w:rsidP="00183E81">
            <w:pPr>
              <w:tabs>
                <w:tab w:val="left" w:pos="150"/>
              </w:tabs>
              <w:ind w:left="0" w:firstLine="0"/>
              <w:jc w:val="left"/>
              <w:rPr>
                <w:rFonts w:ascii="Arial Narrow" w:hAnsi="Arial Narrow"/>
                <w:sz w:val="20"/>
                <w:highlight w:val="yellow"/>
              </w:rPr>
            </w:pPr>
          </w:p>
        </w:tc>
        <w:tc>
          <w:tcPr>
            <w:tcW w:w="5670" w:type="dxa"/>
            <w:tcBorders>
              <w:top w:val="nil"/>
              <w:left w:val="nil"/>
              <w:bottom w:val="nil"/>
              <w:right w:val="nil"/>
            </w:tcBorders>
            <w:tcMar>
              <w:right w:w="85" w:type="dxa"/>
            </w:tcMar>
          </w:tcPr>
          <w:p w:rsidR="00EB501A" w:rsidRPr="00835256" w:rsidRDefault="00EB501A" w:rsidP="00183E81">
            <w:pPr>
              <w:ind w:left="0" w:firstLine="0"/>
              <w:jc w:val="left"/>
              <w:rPr>
                <w:rFonts w:ascii="Arial Narrow" w:hAnsi="Arial Narrow"/>
                <w:sz w:val="20"/>
                <w:highlight w:val="yellow"/>
              </w:rPr>
            </w:pPr>
          </w:p>
        </w:tc>
        <w:tc>
          <w:tcPr>
            <w:tcW w:w="3118" w:type="dxa"/>
            <w:tcBorders>
              <w:top w:val="nil"/>
              <w:left w:val="nil"/>
              <w:bottom w:val="nil"/>
              <w:right w:val="nil"/>
            </w:tcBorders>
            <w:tcMar>
              <w:left w:w="85" w:type="dxa"/>
              <w:right w:w="85" w:type="dxa"/>
            </w:tcMar>
          </w:tcPr>
          <w:p w:rsidR="00EB501A" w:rsidRPr="00835256" w:rsidRDefault="00EB501A" w:rsidP="00183E81">
            <w:pPr>
              <w:ind w:left="0" w:firstLine="0"/>
              <w:jc w:val="left"/>
              <w:rPr>
                <w:rFonts w:ascii="Arial Narrow" w:hAnsi="Arial Narrow"/>
                <w:sz w:val="20"/>
                <w:highlight w:val="yellow"/>
              </w:rPr>
            </w:pPr>
          </w:p>
        </w:tc>
      </w:tr>
      <w:tr w:rsidR="003959D0" w:rsidRPr="00835256" w:rsidTr="0072155E">
        <w:trPr>
          <w:cantSplit/>
        </w:trPr>
        <w:tc>
          <w:tcPr>
            <w:tcW w:w="284" w:type="dxa"/>
            <w:tcBorders>
              <w:top w:val="nil"/>
              <w:left w:val="nil"/>
              <w:bottom w:val="nil"/>
              <w:right w:val="nil"/>
            </w:tcBorders>
            <w:shd w:val="clear" w:color="auto" w:fill="auto"/>
          </w:tcPr>
          <w:p w:rsidR="003959D0" w:rsidRPr="00835256" w:rsidRDefault="003959D0" w:rsidP="00AB346C">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shd w:val="clear" w:color="auto" w:fill="auto"/>
            <w:tcMar>
              <w:right w:w="85" w:type="dxa"/>
            </w:tcMar>
          </w:tcPr>
          <w:p w:rsidR="003959D0" w:rsidRPr="00835256" w:rsidRDefault="00C23829"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Please enter “Confirmed” in the column to the right to indicate that the </w:t>
            </w:r>
            <w:r w:rsidR="003959D0" w:rsidRPr="00835256">
              <w:rPr>
                <w:rFonts w:ascii="Arial Narrow" w:hAnsi="Arial Narrow"/>
                <w:color w:val="000000"/>
                <w:sz w:val="20"/>
                <w:lang w:val="en-AU"/>
              </w:rPr>
              <w:t>Offer Document disclose</w:t>
            </w:r>
            <w:r>
              <w:rPr>
                <w:rFonts w:ascii="Arial Narrow" w:hAnsi="Arial Narrow"/>
                <w:color w:val="000000"/>
                <w:sz w:val="20"/>
                <w:lang w:val="en-AU"/>
              </w:rPr>
              <w:t>s</w:t>
            </w:r>
            <w:r w:rsidR="003959D0" w:rsidRPr="00835256">
              <w:rPr>
                <w:rFonts w:ascii="Arial Narrow" w:hAnsi="Arial Narrow"/>
                <w:color w:val="000000"/>
                <w:sz w:val="20"/>
                <w:lang w:val="en-AU"/>
              </w:rPr>
              <w:t xml:space="preserve"> any potential conflict of interest </w:t>
            </w:r>
            <w:r w:rsidR="00ED09EF">
              <w:rPr>
                <w:rFonts w:ascii="Arial Narrow" w:hAnsi="Arial Narrow"/>
                <w:color w:val="000000"/>
                <w:sz w:val="20"/>
                <w:lang w:val="en-AU"/>
              </w:rPr>
              <w:t xml:space="preserve">any of the named </w:t>
            </w:r>
            <w:r w:rsidR="00D4693D" w:rsidRPr="00835256">
              <w:rPr>
                <w:rFonts w:ascii="Arial Narrow" w:hAnsi="Arial Narrow"/>
                <w:color w:val="000000"/>
                <w:sz w:val="20"/>
                <w:lang w:val="en-AU"/>
              </w:rPr>
              <w:t xml:space="preserve">competent </w:t>
            </w:r>
            <w:r w:rsidR="00D4693D">
              <w:rPr>
                <w:rFonts w:ascii="Arial Narrow" w:hAnsi="Arial Narrow"/>
                <w:color w:val="000000"/>
                <w:sz w:val="20"/>
                <w:lang w:val="en-AU"/>
              </w:rPr>
              <w:t>person</w:t>
            </w:r>
            <w:r w:rsidR="00ED09EF">
              <w:rPr>
                <w:rFonts w:ascii="Arial Narrow" w:hAnsi="Arial Narrow"/>
                <w:color w:val="000000"/>
                <w:sz w:val="20"/>
                <w:lang w:val="en-AU"/>
              </w:rPr>
              <w:t>s</w:t>
            </w:r>
            <w:r w:rsidR="00D4693D">
              <w:rPr>
                <w:rFonts w:ascii="Arial Narrow" w:hAnsi="Arial Narrow"/>
                <w:color w:val="000000"/>
                <w:sz w:val="20"/>
                <w:lang w:val="en-AU"/>
              </w:rPr>
              <w:t xml:space="preserve"> may have and, if it does, indicate where in the Offer Document that disclosure has been made </w:t>
            </w:r>
            <w:r w:rsidR="003959D0" w:rsidRPr="00835256">
              <w:rPr>
                <w:rFonts w:ascii="Arial Narrow" w:hAnsi="Arial Narrow"/>
                <w:color w:val="000000"/>
                <w:sz w:val="20"/>
                <w:lang w:val="en-AU"/>
              </w:rPr>
              <w:t>(JORC clause 9)?</w:t>
            </w:r>
          </w:p>
        </w:tc>
        <w:tc>
          <w:tcPr>
            <w:tcW w:w="3118" w:type="dxa"/>
            <w:tcBorders>
              <w:top w:val="single" w:sz="6" w:space="0" w:color="auto"/>
              <w:left w:val="single" w:sz="6" w:space="0" w:color="auto"/>
              <w:bottom w:val="single" w:sz="6" w:space="0" w:color="auto"/>
              <w:right w:val="single" w:sz="6" w:space="0" w:color="auto"/>
            </w:tcBorders>
            <w:shd w:val="clear" w:color="auto" w:fill="auto"/>
            <w:tcMar>
              <w:left w:w="85" w:type="dxa"/>
              <w:right w:w="85" w:type="dxa"/>
            </w:tcMar>
          </w:tcPr>
          <w:p w:rsidR="003959D0" w:rsidRPr="00835256" w:rsidRDefault="003959D0" w:rsidP="00AB346C">
            <w:pPr>
              <w:pStyle w:val="boxstyle"/>
              <w:jc w:val="left"/>
              <w:rPr>
                <w:rFonts w:ascii="Arial Narrow" w:hAnsi="Arial Narrow"/>
              </w:rPr>
            </w:pPr>
          </w:p>
        </w:tc>
      </w:tr>
      <w:tr w:rsidR="00AD2D9E" w:rsidRPr="00835256" w:rsidTr="0072155E">
        <w:trPr>
          <w:cantSplit/>
        </w:trPr>
        <w:tc>
          <w:tcPr>
            <w:tcW w:w="284" w:type="dxa"/>
            <w:tcBorders>
              <w:top w:val="nil"/>
              <w:left w:val="nil"/>
              <w:bottom w:val="nil"/>
              <w:right w:val="nil"/>
            </w:tcBorders>
          </w:tcPr>
          <w:p w:rsidR="00AD2D9E" w:rsidRPr="00835256" w:rsidRDefault="00AD2D9E" w:rsidP="00AB346C">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AD2D9E" w:rsidRPr="00835256" w:rsidRDefault="00AD2D9E" w:rsidP="00AB346C">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AD2D9E" w:rsidRPr="00835256" w:rsidRDefault="00AD2D9E" w:rsidP="00AB346C">
            <w:pPr>
              <w:ind w:left="0" w:firstLine="0"/>
              <w:jc w:val="left"/>
              <w:rPr>
                <w:rFonts w:ascii="Arial Narrow" w:hAnsi="Arial Narrow"/>
                <w:sz w:val="20"/>
              </w:rPr>
            </w:pPr>
          </w:p>
        </w:tc>
      </w:tr>
      <w:tr w:rsidR="00C23829" w:rsidRPr="00835256" w:rsidTr="0072155E">
        <w:trPr>
          <w:cantSplit/>
        </w:trPr>
        <w:tc>
          <w:tcPr>
            <w:tcW w:w="284" w:type="dxa"/>
            <w:tcBorders>
              <w:top w:val="nil"/>
              <w:left w:val="nil"/>
              <w:bottom w:val="nil"/>
              <w:right w:val="nil"/>
            </w:tcBorders>
          </w:tcPr>
          <w:p w:rsidR="00C23829" w:rsidRPr="00835256" w:rsidRDefault="00C23829" w:rsidP="00DD03F8">
            <w:pPr>
              <w:pStyle w:val="boxstyle"/>
              <w:keepNext/>
              <w:numPr>
                <w:ilvl w:val="0"/>
                <w:numId w:val="15"/>
              </w:numPr>
              <w:ind w:left="0" w:firstLine="0"/>
              <w:jc w:val="left"/>
              <w:rPr>
                <w:rFonts w:ascii="Arial Narrow" w:hAnsi="Arial Narrow"/>
              </w:rPr>
            </w:pPr>
          </w:p>
        </w:tc>
        <w:tc>
          <w:tcPr>
            <w:tcW w:w="5670" w:type="dxa"/>
            <w:tcBorders>
              <w:top w:val="nil"/>
              <w:left w:val="nil"/>
              <w:bottom w:val="nil"/>
            </w:tcBorders>
            <w:tcMar>
              <w:right w:w="85" w:type="dxa"/>
            </w:tcMar>
          </w:tcPr>
          <w:p w:rsidR="00C23829" w:rsidRPr="00835256" w:rsidRDefault="00C23829" w:rsidP="006B7202">
            <w:pPr>
              <w:keepNext/>
              <w:overflowPunct/>
              <w:spacing w:after="100"/>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Is there an Independent Geologist’s Report included in the Offer Document?</w:t>
            </w:r>
          </w:p>
        </w:tc>
        <w:tc>
          <w:tcPr>
            <w:tcW w:w="3118" w:type="dxa"/>
            <w:tcMar>
              <w:left w:w="85" w:type="dxa"/>
              <w:right w:w="85" w:type="dxa"/>
            </w:tcMar>
          </w:tcPr>
          <w:p w:rsidR="00C23829" w:rsidRPr="00835256" w:rsidRDefault="00C23829" w:rsidP="00DD03F8">
            <w:pPr>
              <w:pStyle w:val="boxstyle"/>
              <w:keepNext/>
              <w:jc w:val="left"/>
              <w:rPr>
                <w:rFonts w:ascii="Arial Narrow" w:hAnsi="Arial Narrow"/>
              </w:rPr>
            </w:pPr>
          </w:p>
        </w:tc>
      </w:tr>
      <w:tr w:rsidR="003959D0" w:rsidRPr="00835256" w:rsidTr="0072155E">
        <w:trPr>
          <w:cantSplit/>
        </w:trPr>
        <w:tc>
          <w:tcPr>
            <w:tcW w:w="284" w:type="dxa"/>
            <w:tcBorders>
              <w:top w:val="nil"/>
              <w:left w:val="nil"/>
              <w:bottom w:val="nil"/>
              <w:right w:val="nil"/>
            </w:tcBorders>
            <w:shd w:val="clear" w:color="auto" w:fill="auto"/>
          </w:tcPr>
          <w:p w:rsidR="003959D0" w:rsidRPr="00835256" w:rsidRDefault="003959D0" w:rsidP="00C23829">
            <w:pPr>
              <w:pStyle w:val="boxstyle"/>
              <w:jc w:val="left"/>
              <w:rPr>
                <w:rFonts w:ascii="Arial Narrow" w:hAnsi="Arial Narrow"/>
              </w:rPr>
            </w:pPr>
          </w:p>
        </w:tc>
        <w:tc>
          <w:tcPr>
            <w:tcW w:w="5670" w:type="dxa"/>
            <w:tcBorders>
              <w:top w:val="nil"/>
              <w:left w:val="nil"/>
              <w:bottom w:val="nil"/>
              <w:right w:val="nil"/>
            </w:tcBorders>
            <w:shd w:val="clear" w:color="auto" w:fill="auto"/>
            <w:tcMar>
              <w:right w:w="85" w:type="dxa"/>
            </w:tcMar>
          </w:tcPr>
          <w:p w:rsidR="00C23829" w:rsidRDefault="00134E94" w:rsidP="00C23829">
            <w:pPr>
              <w:overflowPunct/>
              <w:spacing w:after="60"/>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If so, </w:t>
            </w:r>
            <w:r w:rsidR="00A60044" w:rsidRPr="00835256">
              <w:rPr>
                <w:rFonts w:ascii="Arial Narrow" w:hAnsi="Arial Narrow"/>
                <w:color w:val="000000"/>
                <w:sz w:val="20"/>
                <w:lang w:val="en-AU"/>
              </w:rPr>
              <w:t>where does it state that any exploration target, exploration results or estimates of mineral resources or ore reserves (as the case may be)</w:t>
            </w:r>
            <w:r w:rsidR="00C23829">
              <w:rPr>
                <w:rFonts w:ascii="Arial Narrow" w:hAnsi="Arial Narrow"/>
                <w:color w:val="000000"/>
                <w:sz w:val="20"/>
                <w:lang w:val="en-AU"/>
              </w:rPr>
              <w:t>:</w:t>
            </w:r>
          </w:p>
          <w:p w:rsidR="00C23829" w:rsidRDefault="00A60044" w:rsidP="00C2382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are based on, and fairly represent, information and supporting documentation prepared by a named competent person or persons</w:t>
            </w:r>
            <w:r w:rsidR="00C23829">
              <w:rPr>
                <w:rFonts w:ascii="Arial Narrow" w:hAnsi="Arial Narrow"/>
                <w:color w:val="000000"/>
                <w:sz w:val="20"/>
                <w:lang w:val="en-AU"/>
              </w:rPr>
              <w:t>;</w:t>
            </w:r>
          </w:p>
          <w:p w:rsidR="00C23829" w:rsidRDefault="00C23829" w:rsidP="00C2382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the name of the professional organisation of which the competent person is a member;</w:t>
            </w:r>
            <w:r w:rsidRPr="00835256">
              <w:rPr>
                <w:rFonts w:ascii="Arial Narrow" w:hAnsi="Arial Narrow"/>
                <w:color w:val="000000"/>
                <w:sz w:val="20"/>
                <w:lang w:val="en-AU"/>
              </w:rPr>
              <w:t xml:space="preserve"> and</w:t>
            </w:r>
          </w:p>
          <w:p w:rsidR="003959D0" w:rsidRPr="00835256" w:rsidRDefault="00A60044" w:rsidP="0050209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that the competent person has given his or her prior written consent as to the form and context in which the exploration target, exploration results or estimates of mineral resources or ore reserves (as the case may be) and the supporting information are presented in the </w:t>
            </w:r>
            <w:r w:rsidR="00C23829">
              <w:rPr>
                <w:rFonts w:ascii="Arial Narrow" w:hAnsi="Arial Narrow"/>
                <w:color w:val="000000"/>
                <w:sz w:val="20"/>
                <w:lang w:val="en-AU"/>
              </w:rPr>
              <w:t>r</w:t>
            </w:r>
            <w:r w:rsidRPr="00835256">
              <w:rPr>
                <w:rFonts w:ascii="Arial Narrow" w:hAnsi="Arial Narrow"/>
                <w:color w:val="000000"/>
                <w:sz w:val="20"/>
                <w:lang w:val="en-AU"/>
              </w:rPr>
              <w:t>eport (Listing Rule 5.22 for material mining projects and JORC clause 9 for other projects)?</w:t>
            </w:r>
          </w:p>
        </w:tc>
        <w:tc>
          <w:tcPr>
            <w:tcW w:w="3118" w:type="dxa"/>
            <w:tcBorders>
              <w:top w:val="single" w:sz="6" w:space="0" w:color="auto"/>
              <w:left w:val="single" w:sz="6" w:space="0" w:color="auto"/>
              <w:bottom w:val="single" w:sz="6" w:space="0" w:color="auto"/>
              <w:right w:val="single" w:sz="6" w:space="0" w:color="auto"/>
            </w:tcBorders>
            <w:shd w:val="clear" w:color="auto" w:fill="auto"/>
            <w:tcMar>
              <w:left w:w="85" w:type="dxa"/>
              <w:right w:w="85" w:type="dxa"/>
            </w:tcMar>
          </w:tcPr>
          <w:p w:rsidR="003959D0" w:rsidRPr="00835256" w:rsidRDefault="003959D0" w:rsidP="00AB346C">
            <w:pPr>
              <w:pStyle w:val="boxstyle"/>
              <w:jc w:val="left"/>
              <w:rPr>
                <w:rFonts w:ascii="Arial Narrow" w:hAnsi="Arial Narrow"/>
              </w:rPr>
            </w:pPr>
          </w:p>
        </w:tc>
      </w:tr>
      <w:tr w:rsidR="00C23829" w:rsidRPr="00835256" w:rsidTr="0072155E">
        <w:trPr>
          <w:cantSplit/>
        </w:trPr>
        <w:tc>
          <w:tcPr>
            <w:tcW w:w="284" w:type="dxa"/>
            <w:tcBorders>
              <w:top w:val="nil"/>
              <w:left w:val="nil"/>
              <w:bottom w:val="nil"/>
              <w:right w:val="nil"/>
            </w:tcBorders>
          </w:tcPr>
          <w:p w:rsidR="00C23829" w:rsidRPr="00835256" w:rsidRDefault="00C23829" w:rsidP="00DD03F8">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C23829" w:rsidRPr="00835256" w:rsidRDefault="00C23829" w:rsidP="00DD03F8">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C23829" w:rsidRPr="00835256" w:rsidRDefault="00C23829" w:rsidP="00DD03F8">
            <w:pPr>
              <w:ind w:left="0" w:firstLine="0"/>
              <w:jc w:val="left"/>
              <w:rPr>
                <w:rFonts w:ascii="Arial Narrow" w:hAnsi="Arial Narrow"/>
                <w:sz w:val="20"/>
              </w:rPr>
            </w:pPr>
          </w:p>
        </w:tc>
      </w:tr>
      <w:tr w:rsidR="00C23829" w:rsidRPr="00835256" w:rsidTr="0072155E">
        <w:trPr>
          <w:cantSplit/>
        </w:trPr>
        <w:tc>
          <w:tcPr>
            <w:tcW w:w="284" w:type="dxa"/>
            <w:tcBorders>
              <w:top w:val="nil"/>
              <w:left w:val="nil"/>
              <w:bottom w:val="nil"/>
              <w:right w:val="nil"/>
            </w:tcBorders>
          </w:tcPr>
          <w:p w:rsidR="00C23829" w:rsidRPr="00835256" w:rsidRDefault="00C23829" w:rsidP="00DD03F8">
            <w:pPr>
              <w:pStyle w:val="boxstyle"/>
              <w:ind w:left="360"/>
              <w:jc w:val="left"/>
              <w:rPr>
                <w:rFonts w:ascii="Arial Narrow" w:hAnsi="Arial Narrow"/>
              </w:rPr>
            </w:pPr>
          </w:p>
        </w:tc>
        <w:tc>
          <w:tcPr>
            <w:tcW w:w="5670" w:type="dxa"/>
            <w:tcBorders>
              <w:top w:val="nil"/>
              <w:left w:val="nil"/>
              <w:bottom w:val="nil"/>
              <w:right w:val="nil"/>
            </w:tcBorders>
            <w:tcMar>
              <w:right w:w="85" w:type="dxa"/>
            </w:tcMar>
          </w:tcPr>
          <w:p w:rsidR="00C23829" w:rsidRDefault="00C23829" w:rsidP="00C23829">
            <w:pPr>
              <w:overflowPunct/>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Is the Independent Geologist’s Report either a technical assessment report, valuation report, or fairness and reasonableness report prepared in accordance with the Valmin Code?</w:t>
            </w:r>
          </w:p>
          <w:p w:rsidR="00C23829" w:rsidRPr="00835256" w:rsidRDefault="00C23829" w:rsidP="00B00E63">
            <w:pPr>
              <w:overflowPunct/>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If so, where does it state in the report the declarations required by </w:t>
            </w:r>
            <w:r w:rsidR="00B00E63">
              <w:rPr>
                <w:rFonts w:ascii="Arial Narrow" w:hAnsi="Arial Narrow"/>
                <w:color w:val="000000"/>
                <w:sz w:val="20"/>
                <w:lang w:val="en-AU"/>
              </w:rPr>
              <w:t>section 12</w:t>
            </w:r>
            <w:r>
              <w:rPr>
                <w:rFonts w:ascii="Arial Narrow" w:hAnsi="Arial Narrow"/>
                <w:color w:val="000000"/>
                <w:sz w:val="20"/>
                <w:lang w:val="en-AU"/>
              </w:rPr>
              <w:t xml:space="preserve"> of the Valmin Code?</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C23829" w:rsidRPr="00835256" w:rsidRDefault="00C23829" w:rsidP="00DD03F8">
            <w:pPr>
              <w:pStyle w:val="boxstyle"/>
              <w:jc w:val="left"/>
              <w:rPr>
                <w:rFonts w:ascii="Arial Narrow" w:hAnsi="Arial Narrow"/>
              </w:rPr>
            </w:pPr>
          </w:p>
        </w:tc>
      </w:tr>
      <w:tr w:rsidR="003959D0" w:rsidRPr="00835256" w:rsidTr="0072155E">
        <w:trPr>
          <w:cantSplit/>
        </w:trPr>
        <w:tc>
          <w:tcPr>
            <w:tcW w:w="284" w:type="dxa"/>
            <w:tcBorders>
              <w:top w:val="nil"/>
              <w:left w:val="nil"/>
              <w:bottom w:val="nil"/>
              <w:right w:val="nil"/>
            </w:tcBorders>
          </w:tcPr>
          <w:p w:rsidR="003959D0" w:rsidRPr="00835256" w:rsidRDefault="003959D0" w:rsidP="00AB346C">
            <w:pPr>
              <w:tabs>
                <w:tab w:val="left" w:pos="150"/>
              </w:tabs>
              <w:ind w:left="0" w:firstLine="0"/>
              <w:jc w:val="left"/>
              <w:rPr>
                <w:rFonts w:ascii="Arial Narrow" w:hAnsi="Arial Narrow"/>
                <w:sz w:val="20"/>
                <w:highlight w:val="yellow"/>
              </w:rPr>
            </w:pPr>
          </w:p>
        </w:tc>
        <w:tc>
          <w:tcPr>
            <w:tcW w:w="5670" w:type="dxa"/>
            <w:tcBorders>
              <w:top w:val="nil"/>
              <w:left w:val="nil"/>
              <w:bottom w:val="nil"/>
              <w:right w:val="nil"/>
            </w:tcBorders>
            <w:tcMar>
              <w:right w:w="85" w:type="dxa"/>
            </w:tcMar>
          </w:tcPr>
          <w:p w:rsidR="003959D0" w:rsidRPr="00835256" w:rsidRDefault="003959D0" w:rsidP="00AB346C">
            <w:pPr>
              <w:ind w:left="0" w:firstLine="0"/>
              <w:jc w:val="left"/>
              <w:rPr>
                <w:rFonts w:ascii="Arial Narrow" w:hAnsi="Arial Narrow"/>
                <w:sz w:val="20"/>
                <w:highlight w:val="yellow"/>
              </w:rPr>
            </w:pPr>
          </w:p>
        </w:tc>
        <w:tc>
          <w:tcPr>
            <w:tcW w:w="3118" w:type="dxa"/>
            <w:tcBorders>
              <w:top w:val="nil"/>
              <w:left w:val="nil"/>
              <w:bottom w:val="nil"/>
              <w:right w:val="nil"/>
            </w:tcBorders>
            <w:tcMar>
              <w:left w:w="85" w:type="dxa"/>
              <w:right w:w="85" w:type="dxa"/>
            </w:tcMar>
          </w:tcPr>
          <w:p w:rsidR="003959D0" w:rsidRPr="00835256" w:rsidRDefault="003959D0" w:rsidP="00AB346C">
            <w:pPr>
              <w:ind w:left="0" w:firstLine="0"/>
              <w:jc w:val="left"/>
              <w:rPr>
                <w:rFonts w:ascii="Arial Narrow" w:hAnsi="Arial Narrow"/>
                <w:sz w:val="20"/>
                <w:highlight w:val="yellow"/>
              </w:rPr>
            </w:pPr>
          </w:p>
        </w:tc>
      </w:tr>
      <w:tr w:rsidR="00EB501A" w:rsidRPr="00835256" w:rsidTr="0072155E">
        <w:trPr>
          <w:cantSplit/>
        </w:trPr>
        <w:tc>
          <w:tcPr>
            <w:tcW w:w="284" w:type="dxa"/>
            <w:tcBorders>
              <w:top w:val="nil"/>
              <w:left w:val="nil"/>
              <w:bottom w:val="nil"/>
              <w:right w:val="nil"/>
            </w:tcBorders>
          </w:tcPr>
          <w:p w:rsidR="00EB501A" w:rsidRPr="00835256" w:rsidRDefault="00EB501A" w:rsidP="00183E81">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72256D" w:rsidRPr="00835256" w:rsidRDefault="0072256D" w:rsidP="00134E94">
            <w:pPr>
              <w:overflowPunct/>
              <w:spacing w:after="60"/>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Does the Offer Document include a “metal equivalents” calculation?</w:t>
            </w:r>
          </w:p>
          <w:p w:rsidR="0072256D" w:rsidRPr="00835256" w:rsidRDefault="0072256D" w:rsidP="0072256D">
            <w:pPr>
              <w:overflowPunct/>
              <w:spacing w:after="60"/>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If so, </w:t>
            </w:r>
            <w:r w:rsidR="009F652F" w:rsidRPr="00835256">
              <w:rPr>
                <w:rFonts w:ascii="Arial Narrow" w:hAnsi="Arial Narrow"/>
                <w:color w:val="000000"/>
                <w:sz w:val="20"/>
                <w:lang w:val="en-AU"/>
              </w:rPr>
              <w:t xml:space="preserve">where </w:t>
            </w:r>
            <w:r w:rsidRPr="00835256">
              <w:rPr>
                <w:rFonts w:ascii="Arial Narrow" w:hAnsi="Arial Narrow"/>
                <w:color w:val="000000"/>
                <w:sz w:val="20"/>
                <w:lang w:val="en-AU"/>
              </w:rPr>
              <w:t>does the Offer Document include the following information required under JORC clause 50:</w:t>
            </w:r>
          </w:p>
          <w:p w:rsidR="0072256D" w:rsidRPr="00835256" w:rsidRDefault="0072256D" w:rsidP="0072256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individual grades for all metals included in the metal equivalent calculation;</w:t>
            </w:r>
          </w:p>
          <w:p w:rsidR="0072256D" w:rsidRPr="00835256" w:rsidRDefault="0072256D" w:rsidP="0072256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except where the information is commercially sensitive, the assumed commodity prices for all metals;</w:t>
            </w:r>
            <w:r w:rsidRPr="00710666">
              <w:rPr>
                <w:rStyle w:val="FootnoteReference"/>
                <w:rFonts w:ascii="Arial Narrow" w:hAnsi="Arial Narrow"/>
                <w:position w:val="0"/>
                <w:sz w:val="20"/>
                <w:vertAlign w:val="superscript"/>
              </w:rPr>
              <w:footnoteReference w:id="4"/>
            </w:r>
          </w:p>
          <w:p w:rsidR="0072256D" w:rsidRPr="00835256" w:rsidRDefault="0072256D" w:rsidP="0072256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lastRenderedPageBreak/>
              <w:t>assumed metallurgical recoveries for all metals and a discussion of the basis on which the assumed recoveries are derived (metallurgical test work, detailed mineralogy, similar deposits, etc);</w:t>
            </w:r>
            <w:r w:rsidR="00BD44EE" w:rsidRPr="00710666">
              <w:rPr>
                <w:rStyle w:val="FootnoteReference"/>
                <w:rFonts w:ascii="Arial Narrow" w:hAnsi="Arial Narrow"/>
                <w:position w:val="0"/>
                <w:sz w:val="20"/>
                <w:vertAlign w:val="superscript"/>
              </w:rPr>
              <w:footnoteReference w:id="5"/>
            </w:r>
          </w:p>
          <w:p w:rsidR="0072256D" w:rsidRPr="00835256" w:rsidRDefault="0072256D" w:rsidP="0072256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a clear statement that it is the entity’s opinion that all the elements included in the metal equivalents calculation have a reasonable potential to be recovered and sold; and</w:t>
            </w:r>
          </w:p>
          <w:p w:rsidR="00EB501A" w:rsidRPr="00835256" w:rsidRDefault="0072256D" w:rsidP="0072256D">
            <w:pPr>
              <w:numPr>
                <w:ilvl w:val="0"/>
                <w:numId w:val="21"/>
              </w:numPr>
              <w:overflowPunct/>
              <w:autoSpaceDE/>
              <w:autoSpaceDN/>
              <w:adjustRightInd/>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the calculation formula used?</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B501A" w:rsidRPr="00835256" w:rsidRDefault="00EB501A" w:rsidP="00183E81">
            <w:pPr>
              <w:pStyle w:val="boxstyle"/>
              <w:jc w:val="left"/>
              <w:rPr>
                <w:rFonts w:ascii="Arial Narrow" w:hAnsi="Arial Narrow"/>
                <w:highlight w:val="yellow"/>
              </w:rPr>
            </w:pPr>
          </w:p>
        </w:tc>
      </w:tr>
      <w:tr w:rsidR="00EB501A" w:rsidRPr="00835256" w:rsidTr="0072155E">
        <w:trPr>
          <w:cantSplit/>
        </w:trPr>
        <w:tc>
          <w:tcPr>
            <w:tcW w:w="284" w:type="dxa"/>
            <w:tcBorders>
              <w:top w:val="nil"/>
              <w:left w:val="nil"/>
              <w:bottom w:val="nil"/>
              <w:right w:val="nil"/>
            </w:tcBorders>
          </w:tcPr>
          <w:p w:rsidR="00EB501A" w:rsidRPr="00835256" w:rsidRDefault="00EB501A" w:rsidP="00183E81">
            <w:pPr>
              <w:tabs>
                <w:tab w:val="left" w:pos="150"/>
              </w:tabs>
              <w:ind w:left="0" w:firstLine="0"/>
              <w:jc w:val="left"/>
              <w:rPr>
                <w:rFonts w:ascii="Arial Narrow" w:hAnsi="Arial Narrow"/>
                <w:sz w:val="20"/>
                <w:highlight w:val="yellow"/>
              </w:rPr>
            </w:pPr>
          </w:p>
        </w:tc>
        <w:tc>
          <w:tcPr>
            <w:tcW w:w="5670" w:type="dxa"/>
            <w:tcBorders>
              <w:top w:val="nil"/>
              <w:left w:val="nil"/>
              <w:bottom w:val="nil"/>
              <w:right w:val="nil"/>
            </w:tcBorders>
            <w:tcMar>
              <w:right w:w="85" w:type="dxa"/>
            </w:tcMar>
          </w:tcPr>
          <w:p w:rsidR="00EB501A" w:rsidRPr="00835256" w:rsidRDefault="00EB501A" w:rsidP="00183E81">
            <w:pPr>
              <w:ind w:left="0" w:firstLine="0"/>
              <w:jc w:val="left"/>
              <w:rPr>
                <w:rFonts w:ascii="Arial Narrow" w:hAnsi="Arial Narrow"/>
                <w:sz w:val="20"/>
                <w:highlight w:val="yellow"/>
              </w:rPr>
            </w:pPr>
          </w:p>
        </w:tc>
        <w:tc>
          <w:tcPr>
            <w:tcW w:w="3118" w:type="dxa"/>
            <w:tcBorders>
              <w:top w:val="nil"/>
              <w:left w:val="nil"/>
              <w:bottom w:val="nil"/>
              <w:right w:val="nil"/>
            </w:tcBorders>
            <w:tcMar>
              <w:left w:w="85" w:type="dxa"/>
              <w:right w:w="85" w:type="dxa"/>
            </w:tcMar>
          </w:tcPr>
          <w:p w:rsidR="00EB501A" w:rsidRPr="00835256" w:rsidRDefault="00EB501A" w:rsidP="00183E81">
            <w:pPr>
              <w:ind w:left="0" w:firstLine="0"/>
              <w:jc w:val="left"/>
              <w:rPr>
                <w:rFonts w:ascii="Arial Narrow" w:hAnsi="Arial Narrow"/>
                <w:sz w:val="20"/>
                <w:highlight w:val="yellow"/>
              </w:rPr>
            </w:pPr>
          </w:p>
        </w:tc>
      </w:tr>
      <w:tr w:rsidR="00EB501A" w:rsidRPr="00835256" w:rsidTr="0072155E">
        <w:trPr>
          <w:cantSplit/>
        </w:trPr>
        <w:tc>
          <w:tcPr>
            <w:tcW w:w="284" w:type="dxa"/>
            <w:tcBorders>
              <w:top w:val="nil"/>
              <w:left w:val="nil"/>
              <w:bottom w:val="nil"/>
              <w:right w:val="nil"/>
            </w:tcBorders>
          </w:tcPr>
          <w:p w:rsidR="00EB501A" w:rsidRPr="00835256" w:rsidRDefault="00EB501A" w:rsidP="00183E81">
            <w:pPr>
              <w:pStyle w:val="boxstyle"/>
              <w:numPr>
                <w:ilvl w:val="0"/>
                <w:numId w:val="15"/>
              </w:numPr>
              <w:tabs>
                <w:tab w:val="left" w:pos="150"/>
              </w:tabs>
              <w:ind w:left="0" w:firstLine="0"/>
              <w:jc w:val="left"/>
              <w:rPr>
                <w:rFonts w:ascii="Arial Narrow" w:hAnsi="Arial Narrow"/>
              </w:rPr>
            </w:pPr>
            <w:bookmarkStart w:id="1" w:name="_Ref349138753"/>
          </w:p>
        </w:tc>
        <w:bookmarkEnd w:id="1"/>
        <w:tc>
          <w:tcPr>
            <w:tcW w:w="5670" w:type="dxa"/>
            <w:tcBorders>
              <w:top w:val="nil"/>
              <w:left w:val="nil"/>
              <w:bottom w:val="nil"/>
              <w:right w:val="nil"/>
            </w:tcBorders>
            <w:tcMar>
              <w:right w:w="85" w:type="dxa"/>
            </w:tcMar>
          </w:tcPr>
          <w:p w:rsidR="00EB501A" w:rsidRPr="00835256" w:rsidRDefault="00EB501A" w:rsidP="00122C1C">
            <w:pPr>
              <w:spacing w:after="60"/>
              <w:ind w:left="0" w:firstLine="0"/>
              <w:rPr>
                <w:rFonts w:ascii="Arial Narrow" w:hAnsi="Arial Narrow"/>
                <w:color w:val="000000"/>
                <w:sz w:val="20"/>
                <w:highlight w:val="yellow"/>
                <w:lang w:val="en-AU"/>
              </w:rPr>
            </w:pPr>
            <w:r w:rsidRPr="00835256">
              <w:rPr>
                <w:rFonts w:ascii="Arial Narrow" w:hAnsi="Arial Narrow"/>
                <w:color w:val="000000"/>
                <w:sz w:val="20"/>
                <w:lang w:val="en-AU"/>
              </w:rPr>
              <w:t xml:space="preserve">Please enter “Confirmed” in the column to the right </w:t>
            </w:r>
            <w:r w:rsidR="00862849" w:rsidRPr="00835256">
              <w:rPr>
                <w:rFonts w:ascii="Arial Narrow" w:hAnsi="Arial Narrow"/>
                <w:color w:val="000000"/>
                <w:sz w:val="20"/>
                <w:lang w:val="en-AU"/>
              </w:rPr>
              <w:t xml:space="preserve">to indicate that the </w:t>
            </w:r>
            <w:r w:rsidR="009F652F" w:rsidRPr="00835256">
              <w:rPr>
                <w:rFonts w:ascii="Arial Narrow" w:hAnsi="Arial Narrow"/>
                <w:color w:val="000000"/>
                <w:sz w:val="20"/>
                <w:lang w:val="en-AU"/>
              </w:rPr>
              <w:t>Offer Document does not include any reference to “in situ” or “in ground” values (JORC clause 51).</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B501A" w:rsidRPr="00835256" w:rsidRDefault="00EB501A" w:rsidP="00183E81">
            <w:pPr>
              <w:pStyle w:val="boxstyle"/>
              <w:jc w:val="left"/>
              <w:rPr>
                <w:rFonts w:ascii="Arial Narrow" w:hAnsi="Arial Narrow"/>
              </w:rPr>
            </w:pPr>
          </w:p>
        </w:tc>
      </w:tr>
      <w:tr w:rsidR="00C112B4" w:rsidRPr="00835256" w:rsidTr="0072155E">
        <w:trPr>
          <w:cantSplit/>
        </w:trPr>
        <w:tc>
          <w:tcPr>
            <w:tcW w:w="9072" w:type="dxa"/>
            <w:gridSpan w:val="3"/>
            <w:tcBorders>
              <w:top w:val="nil"/>
              <w:left w:val="nil"/>
              <w:bottom w:val="nil"/>
            </w:tcBorders>
            <w:tcMar>
              <w:left w:w="0" w:type="dxa"/>
              <w:right w:w="0" w:type="dxa"/>
            </w:tcMar>
          </w:tcPr>
          <w:p w:rsidR="00C112B4" w:rsidRPr="00835256" w:rsidRDefault="00C112B4" w:rsidP="00576FB1">
            <w:pPr>
              <w:pStyle w:val="Heading4"/>
              <w:keepNext/>
              <w:spacing w:before="240" w:after="120"/>
              <w:jc w:val="left"/>
              <w:rPr>
                <w:rFonts w:ascii="Arial Narrow" w:hAnsi="Arial Narrow"/>
              </w:rPr>
            </w:pPr>
            <w:r w:rsidRPr="00835256">
              <w:rPr>
                <w:rFonts w:ascii="Arial Narrow" w:hAnsi="Arial Narrow"/>
              </w:rPr>
              <w:t>Exploration targets</w:t>
            </w:r>
          </w:p>
          <w:p w:rsidR="00C112B4" w:rsidRPr="00835256" w:rsidRDefault="00C112B4" w:rsidP="00C112B4">
            <w:pPr>
              <w:pStyle w:val="Heading2"/>
              <w:spacing w:after="120"/>
              <w:jc w:val="left"/>
              <w:rPr>
                <w:rFonts w:ascii="Arial Narrow" w:hAnsi="Arial Narrow"/>
              </w:rPr>
            </w:pPr>
            <w:r w:rsidRPr="00835256">
              <w:rPr>
                <w:rFonts w:ascii="Arial Narrow" w:hAnsi="Arial Narrow"/>
                <w:b w:val="0"/>
                <w:i/>
                <w:color w:val="000000"/>
                <w:sz w:val="18"/>
              </w:rPr>
              <w:t>Complete this section if the Offer Document includes any reference to an exploration target</w:t>
            </w:r>
            <w:r w:rsidR="009153D8" w:rsidRPr="00835256">
              <w:rPr>
                <w:rFonts w:ascii="Arial Narrow" w:hAnsi="Arial Narrow"/>
                <w:b w:val="0"/>
                <w:i/>
                <w:color w:val="000000"/>
                <w:sz w:val="18"/>
              </w:rPr>
              <w:t>.</w:t>
            </w:r>
          </w:p>
        </w:tc>
      </w:tr>
      <w:tr w:rsidR="00C112B4" w:rsidRPr="00835256" w:rsidTr="0072155E">
        <w:trPr>
          <w:cantSplit/>
        </w:trPr>
        <w:tc>
          <w:tcPr>
            <w:tcW w:w="284" w:type="dxa"/>
            <w:tcBorders>
              <w:top w:val="nil"/>
              <w:left w:val="nil"/>
              <w:bottom w:val="nil"/>
              <w:right w:val="nil"/>
            </w:tcBorders>
          </w:tcPr>
          <w:p w:rsidR="00C112B4" w:rsidRPr="00835256" w:rsidRDefault="00C112B4" w:rsidP="00183E8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C112B4" w:rsidRPr="00835256" w:rsidRDefault="00C112B4"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Where in the </w:t>
            </w:r>
            <w:r w:rsidR="00876CB2">
              <w:rPr>
                <w:rFonts w:ascii="Arial Narrow" w:hAnsi="Arial Narrow"/>
                <w:color w:val="000000"/>
                <w:sz w:val="20"/>
                <w:lang w:val="en-AU"/>
              </w:rPr>
              <w:t xml:space="preserve">Offer Document does it disclose </w:t>
            </w:r>
            <w:r w:rsidR="008A292F" w:rsidRPr="00835256">
              <w:rPr>
                <w:rFonts w:ascii="Arial Narrow" w:hAnsi="Arial Narrow"/>
                <w:color w:val="000000"/>
                <w:sz w:val="20"/>
                <w:lang w:val="en-AU"/>
              </w:rPr>
              <w:t>a detailed</w:t>
            </w:r>
            <w:r w:rsidRPr="00835256">
              <w:rPr>
                <w:rFonts w:ascii="Arial Narrow" w:hAnsi="Arial Narrow"/>
                <w:color w:val="000000"/>
                <w:sz w:val="20"/>
                <w:lang w:val="en-AU"/>
              </w:rPr>
              <w:t xml:space="preserve"> explanation of the basis for the </w:t>
            </w:r>
            <w:r w:rsidR="00366975" w:rsidRPr="00835256">
              <w:rPr>
                <w:rFonts w:ascii="Arial Narrow" w:hAnsi="Arial Narrow"/>
                <w:color w:val="000000"/>
                <w:sz w:val="20"/>
                <w:lang w:val="en-AU"/>
              </w:rPr>
              <w:t>exploration target</w:t>
            </w:r>
            <w:r w:rsidRPr="00835256">
              <w:rPr>
                <w:rFonts w:ascii="Arial Narrow" w:hAnsi="Arial Narrow"/>
                <w:color w:val="000000"/>
                <w:sz w:val="20"/>
                <w:lang w:val="en-AU"/>
              </w:rPr>
              <w:t xml:space="preserve">, including </w:t>
            </w:r>
            <w:r w:rsidR="00366975" w:rsidRPr="00835256">
              <w:rPr>
                <w:rFonts w:ascii="Arial Narrow" w:hAnsi="Arial Narrow"/>
                <w:color w:val="000000"/>
                <w:sz w:val="20"/>
                <w:lang w:val="en-AU"/>
              </w:rPr>
              <w:t xml:space="preserve">whether the target is based on actual exploration results or on proposed exploration programmes and </w:t>
            </w:r>
            <w:r w:rsidRPr="00835256">
              <w:rPr>
                <w:rFonts w:ascii="Arial Narrow" w:hAnsi="Arial Narrow"/>
                <w:color w:val="000000"/>
                <w:sz w:val="20"/>
                <w:lang w:val="en-AU"/>
              </w:rPr>
              <w:t>a specific description of the level of exploration activity already completed (JORC clause 17)?</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C112B4" w:rsidRPr="00835256" w:rsidRDefault="00C112B4" w:rsidP="00183E81">
            <w:pPr>
              <w:pStyle w:val="boxstyle"/>
              <w:jc w:val="left"/>
              <w:rPr>
                <w:rFonts w:ascii="Arial Narrow" w:hAnsi="Arial Narrow"/>
              </w:rPr>
            </w:pPr>
          </w:p>
        </w:tc>
      </w:tr>
      <w:tr w:rsidR="00C112B4" w:rsidRPr="00835256" w:rsidTr="0072155E">
        <w:trPr>
          <w:cantSplit/>
        </w:trPr>
        <w:tc>
          <w:tcPr>
            <w:tcW w:w="284" w:type="dxa"/>
            <w:tcBorders>
              <w:top w:val="nil"/>
              <w:left w:val="nil"/>
              <w:bottom w:val="nil"/>
              <w:right w:val="nil"/>
            </w:tcBorders>
          </w:tcPr>
          <w:p w:rsidR="00C112B4" w:rsidRPr="00835256" w:rsidRDefault="00C112B4" w:rsidP="00183E8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C112B4" w:rsidRPr="00835256" w:rsidRDefault="00C112B4" w:rsidP="00183E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C112B4" w:rsidRPr="00835256" w:rsidRDefault="00C112B4" w:rsidP="00183E81">
            <w:pPr>
              <w:ind w:left="0" w:firstLine="0"/>
              <w:jc w:val="left"/>
              <w:rPr>
                <w:rFonts w:ascii="Arial Narrow" w:hAnsi="Arial Narrow"/>
                <w:sz w:val="20"/>
              </w:rPr>
            </w:pPr>
          </w:p>
        </w:tc>
      </w:tr>
      <w:tr w:rsidR="00C112B4" w:rsidRPr="00835256" w:rsidTr="0072155E">
        <w:trPr>
          <w:cantSplit/>
        </w:trPr>
        <w:tc>
          <w:tcPr>
            <w:tcW w:w="284" w:type="dxa"/>
            <w:tcBorders>
              <w:top w:val="nil"/>
              <w:left w:val="nil"/>
              <w:bottom w:val="nil"/>
              <w:right w:val="nil"/>
            </w:tcBorders>
          </w:tcPr>
          <w:p w:rsidR="00C112B4" w:rsidRPr="00835256" w:rsidRDefault="00C112B4" w:rsidP="00183E8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C112B4" w:rsidRPr="00835256" w:rsidRDefault="00C112B4"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Where in the Offer Document does it state </w:t>
            </w:r>
            <w:r w:rsidR="00366975" w:rsidRPr="00835256">
              <w:rPr>
                <w:rFonts w:ascii="Arial Narrow" w:hAnsi="Arial Narrow"/>
                <w:color w:val="000000"/>
                <w:sz w:val="20"/>
                <w:lang w:val="en-AU"/>
              </w:rPr>
              <w:t xml:space="preserve">the proposed exploration activities designed to test the validity of the exploration target and the timeframe within which those activities are expected to be completed </w:t>
            </w:r>
            <w:r w:rsidRPr="00835256">
              <w:rPr>
                <w:rFonts w:ascii="Arial Narrow" w:hAnsi="Arial Narrow"/>
                <w:color w:val="000000"/>
                <w:sz w:val="20"/>
                <w:lang w:val="en-AU"/>
              </w:rPr>
              <w:t>(</w:t>
            </w:r>
            <w:r w:rsidR="00366975" w:rsidRPr="00835256">
              <w:rPr>
                <w:rFonts w:ascii="Arial Narrow" w:hAnsi="Arial Narrow"/>
                <w:color w:val="000000"/>
                <w:sz w:val="20"/>
                <w:lang w:val="en-AU"/>
              </w:rPr>
              <w:t>JORC clause 17</w:t>
            </w:r>
            <w:r w:rsidRPr="0083525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C112B4" w:rsidRPr="00835256" w:rsidRDefault="00C112B4" w:rsidP="00183E81">
            <w:pPr>
              <w:pStyle w:val="boxstyle"/>
              <w:jc w:val="left"/>
              <w:rPr>
                <w:rFonts w:ascii="Arial Narrow" w:hAnsi="Arial Narrow"/>
              </w:rPr>
            </w:pPr>
          </w:p>
        </w:tc>
      </w:tr>
      <w:tr w:rsidR="008A292F" w:rsidRPr="00835256" w:rsidTr="0072155E">
        <w:trPr>
          <w:cantSplit/>
        </w:trPr>
        <w:tc>
          <w:tcPr>
            <w:tcW w:w="284" w:type="dxa"/>
            <w:tcBorders>
              <w:top w:val="nil"/>
              <w:left w:val="nil"/>
              <w:bottom w:val="nil"/>
              <w:right w:val="nil"/>
            </w:tcBorders>
          </w:tcPr>
          <w:p w:rsidR="008A292F" w:rsidRPr="00835256" w:rsidRDefault="008A292F" w:rsidP="00183E8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8A292F" w:rsidRPr="00835256" w:rsidRDefault="008A292F" w:rsidP="00183E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8A292F" w:rsidRPr="00835256" w:rsidRDefault="008A292F" w:rsidP="00183E81">
            <w:pPr>
              <w:ind w:left="0" w:firstLine="0"/>
              <w:jc w:val="left"/>
              <w:rPr>
                <w:rFonts w:ascii="Arial Narrow" w:hAnsi="Arial Narrow"/>
                <w:sz w:val="20"/>
              </w:rPr>
            </w:pPr>
          </w:p>
        </w:tc>
      </w:tr>
      <w:tr w:rsidR="008A292F" w:rsidRPr="00835256" w:rsidTr="0072155E">
        <w:trPr>
          <w:cantSplit/>
        </w:trPr>
        <w:tc>
          <w:tcPr>
            <w:tcW w:w="284" w:type="dxa"/>
            <w:tcBorders>
              <w:top w:val="nil"/>
              <w:left w:val="nil"/>
              <w:bottom w:val="nil"/>
              <w:right w:val="nil"/>
            </w:tcBorders>
          </w:tcPr>
          <w:p w:rsidR="008A292F" w:rsidRPr="00835256" w:rsidRDefault="008A292F" w:rsidP="00183E8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8A292F" w:rsidRPr="00835256" w:rsidRDefault="008A292F"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Where in the Offer Document does it </w:t>
            </w:r>
            <w:r w:rsidR="00A3135C" w:rsidRPr="00835256">
              <w:rPr>
                <w:rFonts w:ascii="Arial Narrow" w:hAnsi="Arial Narrow"/>
                <w:color w:val="000000"/>
                <w:sz w:val="20"/>
                <w:lang w:val="en-AU"/>
              </w:rPr>
              <w:t xml:space="preserve">include the required </w:t>
            </w:r>
            <w:r w:rsidRPr="00835256">
              <w:rPr>
                <w:rFonts w:ascii="Arial Narrow" w:hAnsi="Arial Narrow"/>
                <w:color w:val="000000"/>
                <w:sz w:val="20"/>
                <w:lang w:val="en-AU"/>
              </w:rPr>
              <w:t>state</w:t>
            </w:r>
            <w:r w:rsidR="00A3135C" w:rsidRPr="00835256">
              <w:rPr>
                <w:rFonts w:ascii="Arial Narrow" w:hAnsi="Arial Narrow"/>
                <w:color w:val="000000"/>
                <w:sz w:val="20"/>
                <w:lang w:val="en-AU"/>
              </w:rPr>
              <w:t>ment by a</w:t>
            </w:r>
            <w:r w:rsidRPr="00835256">
              <w:rPr>
                <w:rFonts w:ascii="Arial Narrow" w:hAnsi="Arial Narrow"/>
                <w:color w:val="000000"/>
                <w:sz w:val="20"/>
                <w:lang w:val="en-AU"/>
              </w:rPr>
              <w:t xml:space="preserve"> name</w:t>
            </w:r>
            <w:r w:rsidR="00A3135C" w:rsidRPr="00835256">
              <w:rPr>
                <w:rFonts w:ascii="Arial Narrow" w:hAnsi="Arial Narrow"/>
                <w:color w:val="000000"/>
                <w:sz w:val="20"/>
                <w:lang w:val="en-AU"/>
              </w:rPr>
              <w:t>d</w:t>
            </w:r>
            <w:r w:rsidRPr="00835256">
              <w:rPr>
                <w:rFonts w:ascii="Arial Narrow" w:hAnsi="Arial Narrow"/>
                <w:color w:val="000000"/>
                <w:sz w:val="20"/>
                <w:lang w:val="en-AU"/>
              </w:rPr>
              <w:t xml:space="preserve"> </w:t>
            </w:r>
            <w:r w:rsidR="00647ED3">
              <w:rPr>
                <w:rFonts w:ascii="Arial Narrow" w:hAnsi="Arial Narrow"/>
                <w:color w:val="000000"/>
                <w:sz w:val="20"/>
                <w:lang w:val="en-AU"/>
              </w:rPr>
              <w:t>c</w:t>
            </w:r>
            <w:r w:rsidRPr="00835256">
              <w:rPr>
                <w:rFonts w:ascii="Arial Narrow" w:hAnsi="Arial Narrow"/>
                <w:color w:val="000000"/>
                <w:sz w:val="20"/>
                <w:lang w:val="en-AU"/>
              </w:rPr>
              <w:t xml:space="preserve">ompetent </w:t>
            </w:r>
            <w:r w:rsidR="00647ED3">
              <w:rPr>
                <w:rFonts w:ascii="Arial Narrow" w:hAnsi="Arial Narrow"/>
                <w:color w:val="000000"/>
                <w:sz w:val="20"/>
                <w:lang w:val="en-AU"/>
              </w:rPr>
              <w:t>p</w:t>
            </w:r>
            <w:r w:rsidRPr="00835256">
              <w:rPr>
                <w:rFonts w:ascii="Arial Narrow" w:hAnsi="Arial Narrow"/>
                <w:color w:val="000000"/>
                <w:sz w:val="20"/>
                <w:lang w:val="en-AU"/>
              </w:rPr>
              <w:t xml:space="preserve">erson </w:t>
            </w:r>
            <w:r w:rsidR="00A3135C" w:rsidRPr="00835256">
              <w:rPr>
                <w:rFonts w:ascii="Arial Narrow" w:hAnsi="Arial Narrow"/>
                <w:color w:val="000000"/>
                <w:sz w:val="20"/>
                <w:lang w:val="en-AU"/>
              </w:rPr>
              <w:t>taking</w:t>
            </w:r>
            <w:r w:rsidRPr="00835256">
              <w:rPr>
                <w:rFonts w:ascii="Arial Narrow" w:hAnsi="Arial Narrow"/>
                <w:color w:val="000000"/>
                <w:sz w:val="20"/>
                <w:lang w:val="en-AU"/>
              </w:rPr>
              <w:t xml:space="preserve"> responsibility for the form and context in which the exploration target appears (JORC clause 17)?</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8A292F" w:rsidRPr="00835256" w:rsidRDefault="008A292F" w:rsidP="00183E81">
            <w:pPr>
              <w:pStyle w:val="boxstyle"/>
              <w:jc w:val="left"/>
              <w:rPr>
                <w:rFonts w:ascii="Arial Narrow" w:hAnsi="Arial Narrow"/>
              </w:rPr>
            </w:pPr>
          </w:p>
        </w:tc>
      </w:tr>
      <w:tr w:rsidR="008A292F" w:rsidRPr="00835256" w:rsidTr="0072155E">
        <w:trPr>
          <w:cantSplit/>
        </w:trPr>
        <w:tc>
          <w:tcPr>
            <w:tcW w:w="284" w:type="dxa"/>
            <w:tcBorders>
              <w:top w:val="nil"/>
              <w:left w:val="nil"/>
              <w:bottom w:val="nil"/>
              <w:right w:val="nil"/>
            </w:tcBorders>
          </w:tcPr>
          <w:p w:rsidR="008A292F" w:rsidRPr="00835256" w:rsidRDefault="008A292F" w:rsidP="00183E8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8A292F" w:rsidRPr="00835256" w:rsidRDefault="008A292F" w:rsidP="00183E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8A292F" w:rsidRPr="00835256" w:rsidRDefault="008A292F" w:rsidP="00183E81">
            <w:pPr>
              <w:ind w:left="0" w:firstLine="0"/>
              <w:jc w:val="left"/>
              <w:rPr>
                <w:rFonts w:ascii="Arial Narrow" w:hAnsi="Arial Narrow"/>
                <w:sz w:val="20"/>
              </w:rPr>
            </w:pPr>
          </w:p>
        </w:tc>
      </w:tr>
      <w:tr w:rsidR="008A292F" w:rsidRPr="00835256" w:rsidTr="0072155E">
        <w:trPr>
          <w:cantSplit/>
        </w:trPr>
        <w:tc>
          <w:tcPr>
            <w:tcW w:w="284" w:type="dxa"/>
            <w:tcBorders>
              <w:top w:val="nil"/>
              <w:left w:val="nil"/>
              <w:bottom w:val="nil"/>
              <w:right w:val="nil"/>
            </w:tcBorders>
          </w:tcPr>
          <w:p w:rsidR="008A292F" w:rsidRPr="00835256" w:rsidRDefault="008A292F" w:rsidP="00183E8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8A292F" w:rsidRPr="00835256" w:rsidRDefault="008A292F"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Where in the Offer Document </w:t>
            </w:r>
            <w:r w:rsidR="00A3135C" w:rsidRPr="00835256">
              <w:rPr>
                <w:rFonts w:ascii="Arial Narrow" w:hAnsi="Arial Narrow"/>
                <w:color w:val="000000"/>
                <w:sz w:val="20"/>
                <w:lang w:val="en-AU"/>
              </w:rPr>
              <w:t>does it</w:t>
            </w:r>
            <w:r w:rsidRPr="00835256">
              <w:rPr>
                <w:rFonts w:ascii="Arial Narrow" w:hAnsi="Arial Narrow"/>
                <w:color w:val="000000"/>
                <w:sz w:val="20"/>
                <w:lang w:val="en-AU"/>
              </w:rPr>
              <w:t xml:space="preserve"> include the required clarification statement that the potential quantity and grade is conceptual in nature, that there has been insufficient exploration to estimate a mineral resource and that it is uncertain if further exploration will result in the estimation of a mineral resource (JORC clause 17)?</w:t>
            </w:r>
            <w:r w:rsidRPr="00710666">
              <w:rPr>
                <w:rStyle w:val="FootnoteReference"/>
                <w:rFonts w:ascii="Arial Narrow" w:hAnsi="Arial Narrow"/>
                <w:position w:val="0"/>
                <w:sz w:val="20"/>
                <w:vertAlign w:val="superscript"/>
              </w:rPr>
              <w:footnoteReference w:id="6"/>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8A292F" w:rsidRPr="00835256" w:rsidRDefault="008A292F" w:rsidP="00183E81">
            <w:pPr>
              <w:pStyle w:val="boxstyle"/>
              <w:jc w:val="left"/>
              <w:rPr>
                <w:rFonts w:ascii="Arial Narrow" w:hAnsi="Arial Narrow"/>
              </w:rPr>
            </w:pPr>
          </w:p>
        </w:tc>
      </w:tr>
      <w:tr w:rsidR="00C112B4" w:rsidRPr="00835256" w:rsidTr="0072155E">
        <w:trPr>
          <w:cantSplit/>
        </w:trPr>
        <w:tc>
          <w:tcPr>
            <w:tcW w:w="284" w:type="dxa"/>
            <w:tcBorders>
              <w:top w:val="nil"/>
              <w:left w:val="nil"/>
              <w:bottom w:val="nil"/>
              <w:right w:val="nil"/>
            </w:tcBorders>
          </w:tcPr>
          <w:p w:rsidR="00C112B4" w:rsidRPr="00835256" w:rsidRDefault="00C112B4" w:rsidP="00183E8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C112B4" w:rsidRPr="00835256" w:rsidRDefault="00C112B4" w:rsidP="00183E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C112B4" w:rsidRPr="00835256" w:rsidRDefault="00C112B4" w:rsidP="00183E81">
            <w:pPr>
              <w:ind w:left="0" w:firstLine="0"/>
              <w:jc w:val="left"/>
              <w:rPr>
                <w:rFonts w:ascii="Arial Narrow" w:hAnsi="Arial Narrow"/>
                <w:sz w:val="20"/>
              </w:rPr>
            </w:pPr>
          </w:p>
        </w:tc>
      </w:tr>
      <w:tr w:rsidR="00C112B4" w:rsidRPr="00835256" w:rsidTr="0072155E">
        <w:trPr>
          <w:cantSplit/>
        </w:trPr>
        <w:tc>
          <w:tcPr>
            <w:tcW w:w="284" w:type="dxa"/>
            <w:tcBorders>
              <w:top w:val="nil"/>
              <w:left w:val="nil"/>
              <w:bottom w:val="nil"/>
              <w:right w:val="nil"/>
            </w:tcBorders>
          </w:tcPr>
          <w:p w:rsidR="00C112B4" w:rsidRPr="00835256" w:rsidRDefault="00C112B4" w:rsidP="00183E81">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C112B4" w:rsidRPr="00835256" w:rsidRDefault="00C112B4" w:rsidP="00183E81">
            <w:pPr>
              <w:spacing w:after="60"/>
              <w:ind w:left="0" w:firstLine="0"/>
              <w:rPr>
                <w:rFonts w:ascii="Arial Narrow" w:hAnsi="Arial Narrow"/>
                <w:color w:val="000000"/>
                <w:sz w:val="20"/>
                <w:lang w:val="en-AU"/>
              </w:rPr>
            </w:pPr>
            <w:r w:rsidRPr="00835256">
              <w:rPr>
                <w:rFonts w:ascii="Arial Narrow" w:hAnsi="Arial Narrow"/>
                <w:color w:val="000000"/>
                <w:sz w:val="20"/>
                <w:lang w:val="en-AU"/>
              </w:rPr>
              <w:t xml:space="preserve">Please enter “Confirmed” in the column to the right to indicate that the </w:t>
            </w:r>
            <w:r w:rsidR="002D46C0" w:rsidRPr="00835256">
              <w:rPr>
                <w:rFonts w:ascii="Arial Narrow" w:hAnsi="Arial Narrow"/>
                <w:color w:val="000000"/>
                <w:sz w:val="20"/>
                <w:lang w:val="en-AU"/>
              </w:rPr>
              <w:t xml:space="preserve">following </w:t>
            </w:r>
            <w:r w:rsidR="0008761C" w:rsidRPr="00835256">
              <w:rPr>
                <w:rFonts w:ascii="Arial Narrow" w:hAnsi="Arial Narrow"/>
                <w:color w:val="000000"/>
                <w:sz w:val="20"/>
                <w:lang w:val="en-AU"/>
              </w:rPr>
              <w:t>JORC requirements have been satisfied</w:t>
            </w:r>
            <w:r w:rsidRPr="00835256">
              <w:rPr>
                <w:rFonts w:ascii="Arial Narrow" w:hAnsi="Arial Narrow"/>
                <w:color w:val="000000"/>
                <w:sz w:val="20"/>
                <w:lang w:val="en-AU"/>
              </w:rPr>
              <w:t>:</w:t>
            </w:r>
          </w:p>
          <w:p w:rsidR="00366975" w:rsidRPr="00835256" w:rsidRDefault="00366975" w:rsidP="00183E8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information relating to the exploration target has been expressed so that it cannot be misrepresented or misconstrued as an estimate of a mineral resource or ore reserve and the terms “resource” and “reserve” have not been used in this context</w:t>
            </w:r>
            <w:r w:rsidR="0008761C">
              <w:rPr>
                <w:rFonts w:ascii="Arial Narrow" w:hAnsi="Arial Narrow"/>
                <w:color w:val="000000"/>
                <w:sz w:val="20"/>
                <w:lang w:val="en-AU"/>
              </w:rPr>
              <w:t xml:space="preserve"> (</w:t>
            </w:r>
            <w:r w:rsidR="0008761C" w:rsidRPr="00835256">
              <w:rPr>
                <w:rFonts w:ascii="Arial Narrow" w:hAnsi="Arial Narrow"/>
                <w:color w:val="000000"/>
                <w:sz w:val="20"/>
                <w:lang w:val="en-AU"/>
              </w:rPr>
              <w:t>JORC clause 17</w:t>
            </w:r>
            <w:r w:rsidR="0008761C">
              <w:rPr>
                <w:rFonts w:ascii="Arial Narrow" w:hAnsi="Arial Narrow"/>
                <w:color w:val="000000"/>
                <w:sz w:val="20"/>
                <w:lang w:val="en-AU"/>
              </w:rPr>
              <w:t>)</w:t>
            </w:r>
            <w:r w:rsidRPr="00835256">
              <w:rPr>
                <w:rFonts w:ascii="Arial Narrow" w:hAnsi="Arial Narrow"/>
                <w:color w:val="000000"/>
                <w:sz w:val="20"/>
                <w:lang w:val="en-AU"/>
              </w:rPr>
              <w:t>;</w:t>
            </w:r>
          </w:p>
          <w:p w:rsidR="00C112B4" w:rsidRPr="00835256" w:rsidRDefault="00366975" w:rsidP="00183E8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the exploration t</w:t>
            </w:r>
            <w:r w:rsidR="00C112B4" w:rsidRPr="00835256">
              <w:rPr>
                <w:rFonts w:ascii="Arial Narrow" w:hAnsi="Arial Narrow"/>
                <w:color w:val="000000"/>
                <w:sz w:val="20"/>
                <w:lang w:val="en-AU"/>
              </w:rPr>
              <w:t xml:space="preserve">arget </w:t>
            </w:r>
            <w:r w:rsidRPr="00835256">
              <w:rPr>
                <w:rFonts w:ascii="Arial Narrow" w:hAnsi="Arial Narrow"/>
                <w:color w:val="000000"/>
                <w:sz w:val="20"/>
                <w:lang w:val="en-AU"/>
              </w:rPr>
              <w:t xml:space="preserve">is </w:t>
            </w:r>
            <w:r w:rsidR="00C112B4" w:rsidRPr="00835256">
              <w:rPr>
                <w:rFonts w:ascii="Arial Narrow" w:hAnsi="Arial Narrow"/>
                <w:color w:val="000000"/>
                <w:sz w:val="20"/>
                <w:lang w:val="en-AU"/>
              </w:rPr>
              <w:t>expressed as a tonnage and grade range and as an approximation only</w:t>
            </w:r>
            <w:r w:rsidR="0008761C">
              <w:rPr>
                <w:rFonts w:ascii="Arial Narrow" w:hAnsi="Arial Narrow"/>
                <w:color w:val="000000"/>
                <w:sz w:val="20"/>
                <w:lang w:val="en-AU"/>
              </w:rPr>
              <w:t xml:space="preserve"> (</w:t>
            </w:r>
            <w:r w:rsidR="0008761C" w:rsidRPr="00835256">
              <w:rPr>
                <w:rFonts w:ascii="Arial Narrow" w:hAnsi="Arial Narrow"/>
                <w:color w:val="000000"/>
                <w:sz w:val="20"/>
                <w:lang w:val="en-AU"/>
              </w:rPr>
              <w:t>JORC clause 17</w:t>
            </w:r>
            <w:r w:rsidR="0008761C">
              <w:rPr>
                <w:rFonts w:ascii="Arial Narrow" w:hAnsi="Arial Narrow"/>
                <w:color w:val="000000"/>
                <w:sz w:val="20"/>
                <w:lang w:val="en-AU"/>
              </w:rPr>
              <w:t>)</w:t>
            </w:r>
            <w:r w:rsidR="00C112B4" w:rsidRPr="00835256">
              <w:rPr>
                <w:rFonts w:ascii="Arial Narrow" w:hAnsi="Arial Narrow"/>
                <w:color w:val="000000"/>
                <w:sz w:val="20"/>
                <w:lang w:val="en-AU"/>
              </w:rPr>
              <w:t>;</w:t>
            </w:r>
          </w:p>
          <w:p w:rsidR="00366975" w:rsidRPr="00835256" w:rsidRDefault="00366975" w:rsidP="00183E8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lastRenderedPageBreak/>
              <w:t>the Offer Document includes a description of the process used to determine the grade and tonnage ranges used to describe the exploration target</w:t>
            </w:r>
            <w:r w:rsidR="0008761C">
              <w:rPr>
                <w:rFonts w:ascii="Arial Narrow" w:hAnsi="Arial Narrow"/>
                <w:color w:val="000000"/>
                <w:sz w:val="20"/>
                <w:lang w:val="en-AU"/>
              </w:rPr>
              <w:t xml:space="preserve"> (</w:t>
            </w:r>
            <w:r w:rsidR="0008761C" w:rsidRPr="00835256">
              <w:rPr>
                <w:rFonts w:ascii="Arial Narrow" w:hAnsi="Arial Narrow"/>
                <w:color w:val="000000"/>
                <w:sz w:val="20"/>
                <w:lang w:val="en-AU"/>
              </w:rPr>
              <w:t>JORC clause 17</w:t>
            </w:r>
            <w:r w:rsidR="0008761C">
              <w:rPr>
                <w:rFonts w:ascii="Arial Narrow" w:hAnsi="Arial Narrow"/>
                <w:color w:val="000000"/>
                <w:sz w:val="20"/>
                <w:lang w:val="en-AU"/>
              </w:rPr>
              <w:t>)</w:t>
            </w:r>
            <w:r w:rsidR="008A292F" w:rsidRPr="00835256">
              <w:rPr>
                <w:rFonts w:ascii="Arial Narrow" w:hAnsi="Arial Narrow"/>
                <w:color w:val="000000"/>
                <w:sz w:val="20"/>
                <w:lang w:val="en-AU"/>
              </w:rPr>
              <w:t>;</w:t>
            </w:r>
          </w:p>
          <w:p w:rsidR="00C112B4" w:rsidRPr="00835256" w:rsidRDefault="00366975" w:rsidP="00366975">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there are no “headline statements” in the Offer Document referring to the exploration target</w:t>
            </w:r>
            <w:r w:rsidR="0008761C">
              <w:rPr>
                <w:rFonts w:ascii="Arial Narrow" w:hAnsi="Arial Narrow"/>
                <w:color w:val="000000"/>
                <w:sz w:val="20"/>
                <w:lang w:val="en-AU"/>
              </w:rPr>
              <w:t xml:space="preserve"> (</w:t>
            </w:r>
            <w:r w:rsidR="0008761C" w:rsidRPr="00835256">
              <w:rPr>
                <w:rFonts w:ascii="Arial Narrow" w:hAnsi="Arial Narrow"/>
                <w:color w:val="000000"/>
                <w:sz w:val="20"/>
                <w:lang w:val="en-AU"/>
              </w:rPr>
              <w:t>JORC clause 17</w:t>
            </w:r>
            <w:r w:rsidR="0008761C">
              <w:rPr>
                <w:rFonts w:ascii="Arial Narrow" w:hAnsi="Arial Narrow"/>
                <w:color w:val="000000"/>
                <w:sz w:val="20"/>
                <w:lang w:val="en-AU"/>
              </w:rPr>
              <w:t>)</w:t>
            </w:r>
            <w:r w:rsidRPr="00835256">
              <w:rPr>
                <w:rFonts w:ascii="Arial Narrow" w:hAnsi="Arial Narrow"/>
                <w:color w:val="000000"/>
                <w:sz w:val="20"/>
                <w:lang w:val="en-AU"/>
              </w:rPr>
              <w:t>; and</w:t>
            </w:r>
          </w:p>
          <w:p w:rsidR="00366975" w:rsidRPr="00835256" w:rsidRDefault="00366975" w:rsidP="0008761C">
            <w:pPr>
              <w:numPr>
                <w:ilvl w:val="0"/>
                <w:numId w:val="21"/>
              </w:numPr>
              <w:overflowPunct/>
              <w:autoSpaceDE/>
              <w:autoSpaceDN/>
              <w:adjustRightInd/>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the exploration target does not </w:t>
            </w:r>
            <w:r w:rsidR="00A3135C" w:rsidRPr="00835256">
              <w:rPr>
                <w:rFonts w:ascii="Arial Narrow" w:hAnsi="Arial Narrow"/>
                <w:color w:val="000000"/>
                <w:sz w:val="20"/>
                <w:lang w:val="en-AU"/>
              </w:rPr>
              <w:t xml:space="preserve">include </w:t>
            </w:r>
            <w:r w:rsidRPr="00835256">
              <w:rPr>
                <w:rFonts w:ascii="Arial Narrow" w:hAnsi="Arial Narrow"/>
                <w:color w:val="000000"/>
                <w:sz w:val="20"/>
                <w:lang w:val="en-AU"/>
              </w:rPr>
              <w:t xml:space="preserve">a </w:t>
            </w:r>
            <w:r w:rsidR="008A292F" w:rsidRPr="00835256">
              <w:rPr>
                <w:rFonts w:ascii="Arial Narrow" w:hAnsi="Arial Narrow"/>
                <w:color w:val="000000"/>
                <w:sz w:val="20"/>
                <w:lang w:val="en-AU"/>
              </w:rPr>
              <w:t>“</w:t>
            </w:r>
            <w:r w:rsidRPr="00835256">
              <w:rPr>
                <w:rFonts w:ascii="Arial Narrow" w:hAnsi="Arial Narrow"/>
                <w:color w:val="000000"/>
                <w:sz w:val="20"/>
                <w:lang w:val="en-AU"/>
              </w:rPr>
              <w:t>metal equivalent</w:t>
            </w:r>
            <w:r w:rsidR="008A292F" w:rsidRPr="00835256">
              <w:rPr>
                <w:rFonts w:ascii="Arial Narrow" w:hAnsi="Arial Narrow"/>
                <w:color w:val="000000"/>
                <w:sz w:val="20"/>
                <w:lang w:val="en-AU"/>
              </w:rPr>
              <w:t>” estimate or calculation</w:t>
            </w:r>
            <w:r w:rsidR="0008761C">
              <w:rPr>
                <w:rFonts w:ascii="Arial Narrow" w:hAnsi="Arial Narrow"/>
                <w:color w:val="000000"/>
                <w:sz w:val="20"/>
                <w:lang w:val="en-AU"/>
              </w:rPr>
              <w:t xml:space="preserve"> (</w:t>
            </w:r>
            <w:r w:rsidR="0008761C" w:rsidRPr="00835256">
              <w:rPr>
                <w:rFonts w:ascii="Arial Narrow" w:hAnsi="Arial Narrow"/>
                <w:color w:val="000000"/>
                <w:sz w:val="20"/>
                <w:lang w:val="en-AU"/>
              </w:rPr>
              <w:t>JORC clause </w:t>
            </w:r>
            <w:r w:rsidR="0008761C">
              <w:rPr>
                <w:rFonts w:ascii="Arial Narrow" w:hAnsi="Arial Narrow"/>
                <w:color w:val="000000"/>
                <w:sz w:val="20"/>
                <w:lang w:val="en-AU"/>
              </w:rPr>
              <w:t>50)</w:t>
            </w:r>
            <w:r w:rsidR="008A292F" w:rsidRPr="0083525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C112B4" w:rsidRPr="00835256" w:rsidRDefault="00C112B4" w:rsidP="00183E81">
            <w:pPr>
              <w:pStyle w:val="boxstyle"/>
              <w:jc w:val="left"/>
              <w:rPr>
                <w:rFonts w:ascii="Arial Narrow" w:hAnsi="Arial Narrow"/>
              </w:rPr>
            </w:pPr>
          </w:p>
        </w:tc>
      </w:tr>
      <w:tr w:rsidR="00A3135C" w:rsidRPr="00835256" w:rsidTr="0072155E">
        <w:trPr>
          <w:cantSplit/>
        </w:trPr>
        <w:tc>
          <w:tcPr>
            <w:tcW w:w="9072" w:type="dxa"/>
            <w:gridSpan w:val="3"/>
            <w:tcBorders>
              <w:top w:val="nil"/>
              <w:left w:val="nil"/>
              <w:bottom w:val="nil"/>
            </w:tcBorders>
            <w:tcMar>
              <w:left w:w="0" w:type="dxa"/>
              <w:right w:w="0" w:type="dxa"/>
            </w:tcMar>
          </w:tcPr>
          <w:p w:rsidR="00A3135C" w:rsidRPr="00835256" w:rsidRDefault="00A3135C" w:rsidP="00576FB1">
            <w:pPr>
              <w:pStyle w:val="Heading4"/>
              <w:keepNext/>
              <w:spacing w:before="240" w:after="120"/>
              <w:jc w:val="left"/>
              <w:rPr>
                <w:rFonts w:ascii="Arial Narrow" w:hAnsi="Arial Narrow"/>
              </w:rPr>
            </w:pPr>
            <w:r w:rsidRPr="00835256">
              <w:rPr>
                <w:rFonts w:ascii="Arial Narrow" w:hAnsi="Arial Narrow"/>
              </w:rPr>
              <w:t>Exploration results</w:t>
            </w:r>
          </w:p>
          <w:p w:rsidR="00A3135C" w:rsidRPr="00835256" w:rsidRDefault="00A3135C" w:rsidP="00A3135C">
            <w:pPr>
              <w:pStyle w:val="Heading2"/>
              <w:spacing w:after="120"/>
              <w:jc w:val="left"/>
              <w:rPr>
                <w:rFonts w:ascii="Arial Narrow" w:hAnsi="Arial Narrow"/>
              </w:rPr>
            </w:pPr>
            <w:r w:rsidRPr="00835256">
              <w:rPr>
                <w:rFonts w:ascii="Arial Narrow" w:hAnsi="Arial Narrow"/>
                <w:b w:val="0"/>
                <w:i/>
                <w:color w:val="000000"/>
                <w:sz w:val="18"/>
              </w:rPr>
              <w:t>Complete this section if the Offer Document includes any reference to exploration results</w:t>
            </w:r>
          </w:p>
        </w:tc>
      </w:tr>
      <w:tr w:rsidR="003B6211" w:rsidRPr="00835256" w:rsidTr="0072155E">
        <w:trPr>
          <w:cantSplit/>
        </w:trPr>
        <w:tc>
          <w:tcPr>
            <w:tcW w:w="284" w:type="dxa"/>
            <w:tcBorders>
              <w:top w:val="nil"/>
              <w:left w:val="nil"/>
              <w:bottom w:val="nil"/>
              <w:right w:val="nil"/>
            </w:tcBorders>
          </w:tcPr>
          <w:p w:rsidR="003B6211" w:rsidRPr="00835256" w:rsidRDefault="003B6211" w:rsidP="003B621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3B6211" w:rsidRPr="00835256" w:rsidRDefault="003B6211"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is the separate report in relation to each of the criteria in sections 1 and 2 of JORC Table 1 (Listing Rule 5.7.1)?</w:t>
            </w:r>
            <w:r w:rsidRPr="00710666">
              <w:rPr>
                <w:rStyle w:val="FootnoteReference"/>
                <w:rFonts w:ascii="Arial Narrow" w:hAnsi="Arial Narrow"/>
                <w:position w:val="0"/>
                <w:sz w:val="20"/>
                <w:vertAlign w:val="superscript"/>
              </w:rPr>
              <w:footnoteReference w:id="7"/>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3B6211" w:rsidRPr="00835256" w:rsidRDefault="003B6211" w:rsidP="003B6211">
            <w:pPr>
              <w:pStyle w:val="boxstyle"/>
              <w:jc w:val="left"/>
              <w:rPr>
                <w:rFonts w:ascii="Arial Narrow" w:hAnsi="Arial Narrow"/>
              </w:rPr>
            </w:pPr>
          </w:p>
        </w:tc>
      </w:tr>
      <w:tr w:rsidR="003B6211" w:rsidRPr="00835256" w:rsidTr="0072155E">
        <w:trPr>
          <w:cantSplit/>
        </w:trPr>
        <w:tc>
          <w:tcPr>
            <w:tcW w:w="284" w:type="dxa"/>
            <w:tcBorders>
              <w:top w:val="nil"/>
              <w:left w:val="nil"/>
              <w:bottom w:val="nil"/>
              <w:right w:val="nil"/>
            </w:tcBorders>
          </w:tcPr>
          <w:p w:rsidR="003B6211" w:rsidRPr="00835256" w:rsidRDefault="003B6211"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3B6211" w:rsidRPr="00835256" w:rsidRDefault="003B6211"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3B6211" w:rsidRPr="00835256" w:rsidRDefault="003B6211" w:rsidP="003B6211">
            <w:pPr>
              <w:ind w:left="0" w:firstLine="0"/>
              <w:jc w:val="left"/>
              <w:rPr>
                <w:rFonts w:ascii="Arial Narrow" w:hAnsi="Arial Narrow"/>
                <w:sz w:val="20"/>
              </w:rPr>
            </w:pPr>
          </w:p>
        </w:tc>
      </w:tr>
      <w:tr w:rsidR="00A3135C" w:rsidRPr="00835256" w:rsidTr="0072155E">
        <w:trPr>
          <w:cantSplit/>
        </w:trPr>
        <w:tc>
          <w:tcPr>
            <w:tcW w:w="284" w:type="dxa"/>
            <w:tcBorders>
              <w:top w:val="nil"/>
              <w:left w:val="nil"/>
              <w:bottom w:val="nil"/>
              <w:right w:val="nil"/>
            </w:tcBorders>
          </w:tcPr>
          <w:p w:rsidR="00A3135C" w:rsidRPr="00835256" w:rsidRDefault="00A3135C" w:rsidP="00183E8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3B6211" w:rsidRPr="00835256" w:rsidRDefault="003B6211" w:rsidP="00647ED3">
            <w:pPr>
              <w:overflowPunct/>
              <w:spacing w:after="60"/>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is the separate table setting out the following information for material drill-holes (unless the entity determines that the information is not material):</w:t>
            </w:r>
            <w:r w:rsidR="00647ED3" w:rsidRPr="00710666">
              <w:rPr>
                <w:rStyle w:val="FootnoteReference"/>
                <w:rFonts w:ascii="Arial Narrow" w:hAnsi="Arial Narrow"/>
                <w:position w:val="0"/>
                <w:sz w:val="20"/>
                <w:vertAlign w:val="superscript"/>
              </w:rPr>
              <w:footnoteReference w:id="8"/>
            </w:r>
          </w:p>
          <w:p w:rsidR="003B6211" w:rsidRPr="00835256" w:rsidRDefault="003B6211" w:rsidP="003B621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easting and northing of the drill-hole collar;</w:t>
            </w:r>
          </w:p>
          <w:p w:rsidR="003B6211" w:rsidRPr="00835256" w:rsidRDefault="003B6211" w:rsidP="003B621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elevation or RL of the drill-hole collar;</w:t>
            </w:r>
          </w:p>
          <w:p w:rsidR="003B6211" w:rsidRPr="00835256" w:rsidRDefault="003B6211" w:rsidP="003B621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dip and azimuth of the hole;</w:t>
            </w:r>
          </w:p>
          <w:p w:rsidR="003B6211" w:rsidRPr="00835256" w:rsidRDefault="003B6211" w:rsidP="003B621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down hole width and depth; and</w:t>
            </w:r>
          </w:p>
          <w:p w:rsidR="00A3135C" w:rsidRPr="00835256" w:rsidRDefault="003B6211" w:rsidP="00122C1C">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end of hole (Listing Rule 5.7.2)</w:t>
            </w:r>
            <w:r w:rsidR="00E503B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A3135C" w:rsidRPr="00835256" w:rsidRDefault="00A3135C" w:rsidP="00183E81">
            <w:pPr>
              <w:pStyle w:val="boxstyle"/>
              <w:jc w:val="left"/>
              <w:rPr>
                <w:rFonts w:ascii="Arial Narrow" w:hAnsi="Arial Narrow"/>
              </w:rPr>
            </w:pPr>
          </w:p>
        </w:tc>
      </w:tr>
      <w:tr w:rsidR="003B6211" w:rsidRPr="00835256" w:rsidTr="0072155E">
        <w:trPr>
          <w:cantSplit/>
        </w:trPr>
        <w:tc>
          <w:tcPr>
            <w:tcW w:w="284" w:type="dxa"/>
            <w:tcBorders>
              <w:top w:val="nil"/>
              <w:left w:val="nil"/>
              <w:bottom w:val="nil"/>
              <w:right w:val="nil"/>
            </w:tcBorders>
          </w:tcPr>
          <w:p w:rsidR="003B6211" w:rsidRPr="00835256" w:rsidRDefault="003B6211"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3B6211" w:rsidRPr="00835256" w:rsidRDefault="003B6211"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3B6211" w:rsidRPr="00835256" w:rsidRDefault="003B6211" w:rsidP="003B6211">
            <w:pPr>
              <w:ind w:left="0" w:firstLine="0"/>
              <w:jc w:val="left"/>
              <w:rPr>
                <w:rFonts w:ascii="Arial Narrow" w:hAnsi="Arial Narrow"/>
                <w:sz w:val="20"/>
              </w:rPr>
            </w:pPr>
          </w:p>
        </w:tc>
      </w:tr>
      <w:tr w:rsidR="003B6211" w:rsidRPr="00835256" w:rsidTr="0072155E">
        <w:trPr>
          <w:cantSplit/>
        </w:trPr>
        <w:tc>
          <w:tcPr>
            <w:tcW w:w="284" w:type="dxa"/>
            <w:tcBorders>
              <w:top w:val="nil"/>
              <w:left w:val="nil"/>
              <w:bottom w:val="nil"/>
              <w:right w:val="nil"/>
            </w:tcBorders>
          </w:tcPr>
          <w:p w:rsidR="003B6211" w:rsidRPr="00835256" w:rsidRDefault="003B6211" w:rsidP="003B6211">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3B6211" w:rsidRPr="00835256" w:rsidRDefault="003B6211" w:rsidP="003B6211">
            <w:pPr>
              <w:spacing w:after="60"/>
              <w:ind w:left="0" w:firstLine="0"/>
              <w:rPr>
                <w:rFonts w:ascii="Arial Narrow" w:hAnsi="Arial Narrow"/>
                <w:color w:val="000000"/>
                <w:sz w:val="20"/>
                <w:lang w:val="en-AU"/>
              </w:rPr>
            </w:pPr>
            <w:r w:rsidRPr="00835256">
              <w:rPr>
                <w:rFonts w:ascii="Arial Narrow" w:hAnsi="Arial Narrow"/>
                <w:color w:val="000000"/>
                <w:sz w:val="20"/>
                <w:lang w:val="en-AU"/>
              </w:rPr>
              <w:t>Please enter “Confirmed” in the column to the right to indicate that the following JORC requirements have been satisfied:</w:t>
            </w:r>
          </w:p>
          <w:p w:rsidR="003B6211" w:rsidRPr="00835256" w:rsidRDefault="0092060A" w:rsidP="003B621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if the exploration results relate to mineralisation not classified as a mineral resource or ore reserve, then estimates of tonnages and average grade have not been assigned to the mineralisation except as an exploration target in accordance with JORC clause 17 (</w:t>
            </w:r>
            <w:r w:rsidR="003B6211" w:rsidRPr="00835256">
              <w:rPr>
                <w:rFonts w:ascii="Arial Narrow" w:hAnsi="Arial Narrow"/>
                <w:color w:val="000000"/>
                <w:sz w:val="20"/>
                <w:lang w:val="en-AU"/>
              </w:rPr>
              <w:t>JORC clause </w:t>
            </w:r>
            <w:r w:rsidRPr="00835256">
              <w:rPr>
                <w:rFonts w:ascii="Arial Narrow" w:hAnsi="Arial Narrow"/>
                <w:color w:val="000000"/>
                <w:sz w:val="20"/>
                <w:lang w:val="en-AU"/>
              </w:rPr>
              <w:t>18</w:t>
            </w:r>
            <w:r w:rsidR="003B6211" w:rsidRPr="00835256">
              <w:rPr>
                <w:rFonts w:ascii="Arial Narrow" w:hAnsi="Arial Narrow"/>
                <w:color w:val="000000"/>
                <w:sz w:val="20"/>
                <w:lang w:val="en-AU"/>
              </w:rPr>
              <w:t>);</w:t>
            </w:r>
          </w:p>
          <w:p w:rsidR="003B6211" w:rsidRPr="00835256" w:rsidRDefault="0092060A" w:rsidP="003B621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if true widths of mineralisation are not reported, an appropriate qualification has been included in the Offer Document</w:t>
            </w:r>
            <w:r w:rsidR="003B6211" w:rsidRPr="00835256">
              <w:rPr>
                <w:rFonts w:ascii="Arial Narrow" w:hAnsi="Arial Narrow"/>
                <w:color w:val="000000"/>
                <w:sz w:val="20"/>
                <w:lang w:val="en-AU"/>
              </w:rPr>
              <w:t xml:space="preserve"> (JORC clause </w:t>
            </w:r>
            <w:r w:rsidRPr="00835256">
              <w:rPr>
                <w:rFonts w:ascii="Arial Narrow" w:hAnsi="Arial Narrow"/>
                <w:color w:val="000000"/>
                <w:sz w:val="20"/>
                <w:lang w:val="en-AU"/>
              </w:rPr>
              <w:t>19</w:t>
            </w:r>
            <w:r w:rsidR="003B6211" w:rsidRPr="00835256">
              <w:rPr>
                <w:rFonts w:ascii="Arial Narrow" w:hAnsi="Arial Narrow"/>
                <w:color w:val="000000"/>
                <w:sz w:val="20"/>
                <w:lang w:val="en-AU"/>
              </w:rPr>
              <w:t>);</w:t>
            </w:r>
          </w:p>
          <w:p w:rsidR="003B6211" w:rsidRPr="00835256" w:rsidRDefault="0092060A" w:rsidP="003B621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clear diagrams and maps designed to represent the geological context have been included in the Offer Document which include a plan view of drill hole collar locations and appropriate sectional views </w:t>
            </w:r>
            <w:r w:rsidR="003B6211" w:rsidRPr="00835256">
              <w:rPr>
                <w:rFonts w:ascii="Arial Narrow" w:hAnsi="Arial Narrow"/>
                <w:color w:val="000000"/>
                <w:sz w:val="20"/>
                <w:lang w:val="en-AU"/>
              </w:rPr>
              <w:t>(JORC clause </w:t>
            </w:r>
            <w:r w:rsidRPr="00835256">
              <w:rPr>
                <w:rFonts w:ascii="Arial Narrow" w:hAnsi="Arial Narrow"/>
                <w:color w:val="000000"/>
                <w:sz w:val="20"/>
                <w:lang w:val="en-AU"/>
              </w:rPr>
              <w:t>19</w:t>
            </w:r>
            <w:r w:rsidR="003B6211" w:rsidRPr="00835256">
              <w:rPr>
                <w:rFonts w:ascii="Arial Narrow" w:hAnsi="Arial Narrow"/>
                <w:color w:val="000000"/>
                <w:sz w:val="20"/>
                <w:lang w:val="en-AU"/>
              </w:rPr>
              <w:t>);</w:t>
            </w:r>
          </w:p>
          <w:p w:rsidR="009F652F" w:rsidRPr="00835256" w:rsidRDefault="0092060A" w:rsidP="0092060A">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there has been no selected disclosure of information such as isolated assays, isolated drill holes, assays of panned concentrates or supergene enriched soils or surface samples, without placing them in perspective (JORC clause 19</w:t>
            </w:r>
            <w:r w:rsidR="003B6211" w:rsidRPr="00835256">
              <w:rPr>
                <w:rFonts w:ascii="Arial Narrow" w:hAnsi="Arial Narrow"/>
                <w:color w:val="000000"/>
                <w:sz w:val="20"/>
                <w:lang w:val="en-AU"/>
              </w:rPr>
              <w:t>)</w:t>
            </w:r>
            <w:r w:rsidR="00647ED3">
              <w:rPr>
                <w:rFonts w:ascii="Arial Narrow" w:hAnsi="Arial Narrow"/>
                <w:color w:val="000000"/>
                <w:sz w:val="20"/>
                <w:lang w:val="en-AU"/>
              </w:rPr>
              <w:t>;</w:t>
            </w:r>
          </w:p>
          <w:p w:rsidR="003B6211" w:rsidRPr="0008761C" w:rsidRDefault="009F652F" w:rsidP="0092060A">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08761C">
              <w:rPr>
                <w:rFonts w:ascii="Arial Narrow" w:hAnsi="Arial Narrow"/>
                <w:color w:val="000000"/>
                <w:sz w:val="20"/>
                <w:lang w:val="en-AU"/>
              </w:rPr>
              <w:t>if the Offer Document includes exploration results based on rock chip or grab sampling, the location (represented as a table, diagram or map), total number and assay results for the sampling have been included for each sample so as to ensure samples are representative and not selectively reported</w:t>
            </w:r>
            <w:r w:rsidR="0008761C">
              <w:rPr>
                <w:rFonts w:ascii="Arial Narrow" w:hAnsi="Arial Narrow"/>
                <w:color w:val="000000"/>
                <w:sz w:val="20"/>
                <w:lang w:val="en-AU"/>
              </w:rPr>
              <w:t xml:space="preserve"> (</w:t>
            </w:r>
            <w:r w:rsidR="00742870" w:rsidRPr="00835256">
              <w:rPr>
                <w:rFonts w:ascii="Arial Narrow" w:hAnsi="Arial Narrow"/>
                <w:color w:val="000000"/>
                <w:sz w:val="20"/>
                <w:lang w:val="en-AU"/>
              </w:rPr>
              <w:t>JORC clause 19</w:t>
            </w:r>
            <w:r w:rsidR="00742870">
              <w:rPr>
                <w:rFonts w:ascii="Arial Narrow" w:hAnsi="Arial Narrow"/>
                <w:color w:val="000000"/>
                <w:sz w:val="20"/>
                <w:lang w:val="en-AU"/>
              </w:rPr>
              <w:t xml:space="preserve"> and JORC Table 1</w:t>
            </w:r>
            <w:r w:rsidR="0008761C">
              <w:rPr>
                <w:rFonts w:ascii="Arial Narrow" w:hAnsi="Arial Narrow"/>
                <w:color w:val="000000"/>
                <w:sz w:val="20"/>
                <w:lang w:val="en-AU"/>
              </w:rPr>
              <w:t>)</w:t>
            </w:r>
            <w:r w:rsidRPr="0008761C">
              <w:rPr>
                <w:rFonts w:ascii="Arial Narrow" w:hAnsi="Arial Narrow"/>
                <w:color w:val="000000"/>
                <w:sz w:val="20"/>
                <w:lang w:val="en-AU"/>
              </w:rPr>
              <w:t xml:space="preserve">; </w:t>
            </w:r>
            <w:r w:rsidR="0092060A" w:rsidRPr="0008761C">
              <w:rPr>
                <w:rFonts w:ascii="Arial Narrow" w:hAnsi="Arial Narrow"/>
                <w:color w:val="000000"/>
                <w:sz w:val="20"/>
                <w:lang w:val="en-AU"/>
              </w:rPr>
              <w:t>and</w:t>
            </w:r>
          </w:p>
          <w:p w:rsidR="0092060A" w:rsidRPr="00835256" w:rsidRDefault="009F652F" w:rsidP="00122C1C">
            <w:pPr>
              <w:numPr>
                <w:ilvl w:val="0"/>
                <w:numId w:val="21"/>
              </w:numPr>
              <w:overflowPunct/>
              <w:autoSpaceDE/>
              <w:autoSpaceDN/>
              <w:adjustRightInd/>
              <w:ind w:left="284" w:hanging="284"/>
              <w:jc w:val="left"/>
              <w:textAlignment w:val="auto"/>
              <w:rPr>
                <w:rFonts w:ascii="Arial Narrow" w:hAnsi="Arial Narrow"/>
                <w:color w:val="000000"/>
                <w:sz w:val="20"/>
                <w:lang w:val="en-AU"/>
              </w:rPr>
            </w:pPr>
            <w:r w:rsidRPr="005A6AD7">
              <w:rPr>
                <w:rFonts w:ascii="Arial Narrow" w:hAnsi="Arial Narrow"/>
                <w:color w:val="000000"/>
                <w:sz w:val="20"/>
                <w:lang w:val="en-AU"/>
              </w:rPr>
              <w:t>if the Offer Document reports visual results in the absence of assays, it does not include any reference to the grade or economic potential of the mineralisation</w:t>
            </w:r>
            <w:r w:rsidR="005A6AD7">
              <w:rPr>
                <w:rFonts w:ascii="Arial Narrow" w:hAnsi="Arial Narrow"/>
                <w:color w:val="000000"/>
                <w:sz w:val="20"/>
                <w:lang w:val="en-AU"/>
              </w:rPr>
              <w:t xml:space="preserve"> (Example D in </w:t>
            </w:r>
            <w:r w:rsidR="0008761C">
              <w:rPr>
                <w:rFonts w:ascii="Arial Narrow" w:hAnsi="Arial Narrow"/>
                <w:color w:val="000000"/>
                <w:sz w:val="20"/>
                <w:lang w:val="en-AU"/>
              </w:rPr>
              <w:t xml:space="preserve">Annexure A of </w:t>
            </w:r>
            <w:r w:rsidR="005A6AD7">
              <w:rPr>
                <w:rFonts w:ascii="Arial Narrow" w:hAnsi="Arial Narrow"/>
                <w:color w:val="000000"/>
                <w:sz w:val="20"/>
                <w:lang w:val="en-AU"/>
              </w:rPr>
              <w:t>Guidance Note 8).</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3B6211" w:rsidRPr="00835256" w:rsidRDefault="003B6211" w:rsidP="003B6211">
            <w:pPr>
              <w:pStyle w:val="boxstyle"/>
              <w:jc w:val="left"/>
              <w:rPr>
                <w:rFonts w:ascii="Arial Narrow" w:hAnsi="Arial Narrow"/>
              </w:rPr>
            </w:pPr>
          </w:p>
        </w:tc>
      </w:tr>
      <w:tr w:rsidR="009153D8" w:rsidRPr="00835256" w:rsidTr="0072155E">
        <w:trPr>
          <w:cantSplit/>
        </w:trPr>
        <w:tc>
          <w:tcPr>
            <w:tcW w:w="9072" w:type="dxa"/>
            <w:gridSpan w:val="3"/>
            <w:tcBorders>
              <w:top w:val="nil"/>
              <w:left w:val="nil"/>
              <w:bottom w:val="nil"/>
            </w:tcBorders>
            <w:tcMar>
              <w:left w:w="0" w:type="dxa"/>
              <w:right w:w="0" w:type="dxa"/>
            </w:tcMar>
          </w:tcPr>
          <w:p w:rsidR="009153D8" w:rsidRPr="00835256" w:rsidRDefault="009153D8" w:rsidP="00576FB1">
            <w:pPr>
              <w:pStyle w:val="Heading4"/>
              <w:keepNext/>
              <w:spacing w:before="240" w:after="120"/>
              <w:jc w:val="left"/>
              <w:rPr>
                <w:rFonts w:ascii="Arial Narrow" w:hAnsi="Arial Narrow"/>
              </w:rPr>
            </w:pPr>
            <w:r w:rsidRPr="00835256">
              <w:rPr>
                <w:rFonts w:ascii="Arial Narrow" w:hAnsi="Arial Narrow"/>
              </w:rPr>
              <w:lastRenderedPageBreak/>
              <w:t>Mineral resources</w:t>
            </w:r>
          </w:p>
          <w:p w:rsidR="009153D8" w:rsidRPr="00835256" w:rsidRDefault="009153D8" w:rsidP="004E05DC">
            <w:pPr>
              <w:pStyle w:val="Heading2"/>
              <w:spacing w:after="120"/>
              <w:jc w:val="left"/>
              <w:rPr>
                <w:rFonts w:ascii="Arial Narrow" w:hAnsi="Arial Narrow"/>
              </w:rPr>
            </w:pPr>
            <w:r w:rsidRPr="00835256">
              <w:rPr>
                <w:rFonts w:ascii="Arial Narrow" w:hAnsi="Arial Narrow"/>
                <w:b w:val="0"/>
                <w:i/>
                <w:color w:val="000000"/>
                <w:sz w:val="18"/>
              </w:rPr>
              <w:t xml:space="preserve">Complete this section if the Offer Document includes any reference to </w:t>
            </w:r>
            <w:r w:rsidR="004E05DC" w:rsidRPr="00835256">
              <w:rPr>
                <w:rFonts w:ascii="Arial Narrow" w:hAnsi="Arial Narrow"/>
                <w:b w:val="0"/>
                <w:i/>
                <w:color w:val="000000"/>
                <w:sz w:val="18"/>
              </w:rPr>
              <w:t>an estimate of mineral resources.</w:t>
            </w:r>
          </w:p>
        </w:tc>
      </w:tr>
      <w:tr w:rsidR="00795ECF" w:rsidRPr="00835256" w:rsidTr="0072155E">
        <w:trPr>
          <w:cantSplit/>
        </w:trPr>
        <w:tc>
          <w:tcPr>
            <w:tcW w:w="284" w:type="dxa"/>
            <w:tcBorders>
              <w:top w:val="nil"/>
              <w:left w:val="nil"/>
              <w:bottom w:val="nil"/>
              <w:right w:val="nil"/>
            </w:tcBorders>
          </w:tcPr>
          <w:p w:rsidR="00795ECF" w:rsidRPr="00835256" w:rsidRDefault="00795ECF" w:rsidP="00795ECF">
            <w:pPr>
              <w:pStyle w:val="boxstyle"/>
              <w:numPr>
                <w:ilvl w:val="0"/>
                <w:numId w:val="15"/>
              </w:numPr>
              <w:ind w:left="0" w:firstLine="0"/>
              <w:jc w:val="left"/>
              <w:rPr>
                <w:rFonts w:ascii="Arial Narrow" w:hAnsi="Arial Narrow"/>
              </w:rPr>
            </w:pPr>
          </w:p>
        </w:tc>
        <w:tc>
          <w:tcPr>
            <w:tcW w:w="5670" w:type="dxa"/>
            <w:tcBorders>
              <w:top w:val="nil"/>
              <w:left w:val="nil"/>
              <w:bottom w:val="nil"/>
              <w:right w:val="single" w:sz="6" w:space="0" w:color="auto"/>
            </w:tcBorders>
            <w:tcMar>
              <w:right w:w="85" w:type="dxa"/>
            </w:tcMar>
          </w:tcPr>
          <w:p w:rsidR="00795ECF" w:rsidRPr="00835256" w:rsidRDefault="00795ECF" w:rsidP="00122C1C">
            <w:pPr>
              <w:ind w:left="0" w:firstLine="0"/>
              <w:jc w:val="left"/>
              <w:rPr>
                <w:rFonts w:ascii="Arial Narrow" w:hAnsi="Arial Narrow"/>
                <w:sz w:val="20"/>
              </w:rPr>
            </w:pPr>
            <w:r w:rsidRPr="00835256">
              <w:rPr>
                <w:rFonts w:ascii="Arial Narrow" w:hAnsi="Arial Narrow"/>
                <w:color w:val="000000"/>
                <w:sz w:val="20"/>
                <w:lang w:val="en-AU"/>
              </w:rPr>
              <w:t xml:space="preserve">Where in the Offer Document does the </w:t>
            </w:r>
            <w:r w:rsidR="00647ED3">
              <w:rPr>
                <w:rFonts w:ascii="Arial Narrow" w:hAnsi="Arial Narrow"/>
                <w:color w:val="000000"/>
                <w:sz w:val="20"/>
                <w:lang w:val="en-AU"/>
              </w:rPr>
              <w:t>competent p</w:t>
            </w:r>
            <w:r w:rsidRPr="00835256">
              <w:rPr>
                <w:rFonts w:ascii="Arial Narrow" w:hAnsi="Arial Narrow"/>
                <w:color w:val="000000"/>
                <w:sz w:val="20"/>
                <w:lang w:val="en-AU"/>
              </w:rPr>
              <w:t>erson explicitly discuss the basis for the reasonable prospects for eventual economic extraction of the</w:t>
            </w:r>
            <w:r w:rsidR="00647ED3">
              <w:rPr>
                <w:rFonts w:ascii="Arial Narrow" w:hAnsi="Arial Narrow"/>
                <w:color w:val="000000"/>
                <w:sz w:val="20"/>
                <w:lang w:val="en-AU"/>
              </w:rPr>
              <w:t xml:space="preserve"> mineral</w:t>
            </w:r>
            <w:r w:rsidRPr="00835256">
              <w:rPr>
                <w:rFonts w:ascii="Arial Narrow" w:hAnsi="Arial Narrow"/>
                <w:color w:val="000000"/>
                <w:sz w:val="20"/>
                <w:lang w:val="en-AU"/>
              </w:rPr>
              <w:t xml:space="preserve"> resource (JORC clause 20)?</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795ECF" w:rsidRPr="00835256" w:rsidRDefault="00795ECF" w:rsidP="003B6211">
            <w:pPr>
              <w:ind w:left="0" w:firstLine="0"/>
              <w:jc w:val="left"/>
              <w:rPr>
                <w:rFonts w:ascii="Arial Narrow" w:hAnsi="Arial Narrow"/>
                <w:sz w:val="20"/>
              </w:rPr>
            </w:pPr>
          </w:p>
        </w:tc>
      </w:tr>
      <w:tr w:rsidR="0072155E" w:rsidRPr="00835256" w:rsidTr="0072155E">
        <w:trPr>
          <w:cantSplit/>
        </w:trPr>
        <w:tc>
          <w:tcPr>
            <w:tcW w:w="284" w:type="dxa"/>
            <w:tcBorders>
              <w:top w:val="nil"/>
              <w:left w:val="nil"/>
              <w:bottom w:val="nil"/>
              <w:right w:val="nil"/>
            </w:tcBorders>
          </w:tcPr>
          <w:p w:rsidR="0072155E" w:rsidRPr="00835256" w:rsidRDefault="0072155E" w:rsidP="003B67DB">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72155E" w:rsidRPr="00835256" w:rsidRDefault="0072155E" w:rsidP="003B67DB">
            <w:pPr>
              <w:ind w:left="0" w:firstLine="0"/>
              <w:jc w:val="left"/>
              <w:rPr>
                <w:rFonts w:ascii="Arial Narrow" w:hAnsi="Arial Narrow"/>
                <w:sz w:val="20"/>
              </w:rPr>
            </w:pPr>
          </w:p>
        </w:tc>
        <w:tc>
          <w:tcPr>
            <w:tcW w:w="3118" w:type="dxa"/>
            <w:tcBorders>
              <w:top w:val="single" w:sz="6" w:space="0" w:color="auto"/>
              <w:left w:val="nil"/>
              <w:bottom w:val="nil"/>
              <w:right w:val="nil"/>
            </w:tcBorders>
            <w:tcMar>
              <w:left w:w="85" w:type="dxa"/>
              <w:right w:w="85" w:type="dxa"/>
            </w:tcMar>
          </w:tcPr>
          <w:p w:rsidR="0072155E" w:rsidRPr="00835256" w:rsidRDefault="0072155E" w:rsidP="003B67DB">
            <w:pPr>
              <w:ind w:left="0" w:firstLine="0"/>
              <w:jc w:val="left"/>
              <w:rPr>
                <w:rFonts w:ascii="Arial Narrow" w:hAnsi="Arial Narrow"/>
                <w:sz w:val="20"/>
              </w:rPr>
            </w:pPr>
          </w:p>
        </w:tc>
      </w:tr>
      <w:tr w:rsidR="00647ED3" w:rsidRPr="00835256" w:rsidTr="0072155E">
        <w:trPr>
          <w:cantSplit/>
        </w:trPr>
        <w:tc>
          <w:tcPr>
            <w:tcW w:w="284" w:type="dxa"/>
            <w:tcBorders>
              <w:top w:val="nil"/>
              <w:left w:val="nil"/>
              <w:bottom w:val="nil"/>
              <w:right w:val="nil"/>
            </w:tcBorders>
          </w:tcPr>
          <w:p w:rsidR="00647ED3" w:rsidRPr="00835256" w:rsidRDefault="00647ED3" w:rsidP="00CE2A5F">
            <w:pPr>
              <w:pStyle w:val="boxstyle"/>
              <w:numPr>
                <w:ilvl w:val="0"/>
                <w:numId w:val="15"/>
              </w:numPr>
              <w:ind w:left="0" w:firstLine="0"/>
              <w:jc w:val="left"/>
              <w:rPr>
                <w:rFonts w:ascii="Arial Narrow" w:hAnsi="Arial Narrow"/>
              </w:rPr>
            </w:pPr>
          </w:p>
        </w:tc>
        <w:tc>
          <w:tcPr>
            <w:tcW w:w="5670" w:type="dxa"/>
            <w:tcBorders>
              <w:top w:val="nil"/>
              <w:left w:val="nil"/>
              <w:bottom w:val="nil"/>
              <w:right w:val="single" w:sz="6" w:space="0" w:color="auto"/>
            </w:tcBorders>
            <w:tcMar>
              <w:right w:w="85" w:type="dxa"/>
            </w:tcMar>
          </w:tcPr>
          <w:p w:rsidR="00647ED3" w:rsidRPr="00835256" w:rsidRDefault="00647ED3" w:rsidP="00122C1C">
            <w:pPr>
              <w:ind w:left="0" w:firstLine="0"/>
              <w:jc w:val="left"/>
              <w:rPr>
                <w:rFonts w:ascii="Arial Narrow" w:hAnsi="Arial Narrow"/>
                <w:sz w:val="20"/>
              </w:rPr>
            </w:pPr>
            <w:r w:rsidRPr="00835256">
              <w:rPr>
                <w:rFonts w:ascii="Arial Narrow" w:hAnsi="Arial Narrow"/>
                <w:color w:val="000000"/>
                <w:sz w:val="20"/>
                <w:lang w:val="en-AU"/>
              </w:rPr>
              <w:t xml:space="preserve">Where in the Offer Document does the </w:t>
            </w:r>
            <w:r>
              <w:rPr>
                <w:rFonts w:ascii="Arial Narrow" w:hAnsi="Arial Narrow"/>
                <w:color w:val="000000"/>
                <w:sz w:val="20"/>
                <w:lang w:val="en-AU"/>
              </w:rPr>
              <w:t>c</w:t>
            </w:r>
            <w:r w:rsidRPr="00835256">
              <w:rPr>
                <w:rFonts w:ascii="Arial Narrow" w:hAnsi="Arial Narrow"/>
                <w:color w:val="000000"/>
                <w:sz w:val="20"/>
                <w:lang w:val="en-AU"/>
              </w:rPr>
              <w:t xml:space="preserve">ompetent </w:t>
            </w:r>
            <w:r>
              <w:rPr>
                <w:rFonts w:ascii="Arial Narrow" w:hAnsi="Arial Narrow"/>
                <w:color w:val="000000"/>
                <w:sz w:val="20"/>
                <w:lang w:val="en-AU"/>
              </w:rPr>
              <w:t>p</w:t>
            </w:r>
            <w:r w:rsidRPr="00835256">
              <w:rPr>
                <w:rFonts w:ascii="Arial Narrow" w:hAnsi="Arial Narrow"/>
                <w:color w:val="000000"/>
                <w:sz w:val="20"/>
                <w:lang w:val="en-AU"/>
              </w:rPr>
              <w:t>erson explicitly discuss the technical and economic support for the cut-off assumption applied (JORC clause 20)?</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647ED3" w:rsidRPr="00835256" w:rsidRDefault="00647ED3" w:rsidP="00CE2A5F">
            <w:pPr>
              <w:ind w:left="0" w:firstLine="0"/>
              <w:jc w:val="left"/>
              <w:rPr>
                <w:rFonts w:ascii="Arial Narrow" w:hAnsi="Arial Narrow"/>
                <w:sz w:val="20"/>
              </w:rPr>
            </w:pPr>
          </w:p>
        </w:tc>
      </w:tr>
      <w:tr w:rsidR="00647ED3" w:rsidRPr="00835256" w:rsidTr="0072155E">
        <w:trPr>
          <w:cantSplit/>
        </w:trPr>
        <w:tc>
          <w:tcPr>
            <w:tcW w:w="284" w:type="dxa"/>
            <w:tcBorders>
              <w:top w:val="nil"/>
              <w:left w:val="nil"/>
              <w:bottom w:val="nil"/>
              <w:right w:val="nil"/>
            </w:tcBorders>
          </w:tcPr>
          <w:p w:rsidR="00647ED3" w:rsidRPr="00835256" w:rsidRDefault="00647ED3" w:rsidP="00CE2A5F">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647ED3" w:rsidRPr="00835256" w:rsidRDefault="00647ED3" w:rsidP="00CE2A5F">
            <w:pPr>
              <w:ind w:left="0" w:firstLine="0"/>
              <w:jc w:val="left"/>
              <w:rPr>
                <w:rFonts w:ascii="Arial Narrow" w:hAnsi="Arial Narrow"/>
                <w:sz w:val="20"/>
              </w:rPr>
            </w:pPr>
          </w:p>
        </w:tc>
        <w:tc>
          <w:tcPr>
            <w:tcW w:w="3118" w:type="dxa"/>
            <w:tcBorders>
              <w:top w:val="single" w:sz="6" w:space="0" w:color="auto"/>
              <w:left w:val="nil"/>
              <w:bottom w:val="nil"/>
              <w:right w:val="nil"/>
            </w:tcBorders>
            <w:tcMar>
              <w:left w:w="85" w:type="dxa"/>
              <w:right w:w="85" w:type="dxa"/>
            </w:tcMar>
          </w:tcPr>
          <w:p w:rsidR="00647ED3" w:rsidRPr="00835256" w:rsidRDefault="00647ED3" w:rsidP="00CE2A5F">
            <w:pPr>
              <w:ind w:left="0" w:firstLine="0"/>
              <w:jc w:val="left"/>
              <w:rPr>
                <w:rFonts w:ascii="Arial Narrow" w:hAnsi="Arial Narrow"/>
                <w:sz w:val="20"/>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pStyle w:val="boxstyle"/>
              <w:numPr>
                <w:ilvl w:val="0"/>
                <w:numId w:val="15"/>
              </w:numPr>
              <w:ind w:left="0" w:firstLine="0"/>
              <w:jc w:val="left"/>
              <w:rPr>
                <w:rFonts w:ascii="Arial Narrow" w:hAnsi="Arial Narrow"/>
              </w:rPr>
            </w:pPr>
            <w:bookmarkStart w:id="2" w:name="_Ref462411052"/>
          </w:p>
        </w:tc>
        <w:bookmarkEnd w:id="2"/>
        <w:tc>
          <w:tcPr>
            <w:tcW w:w="5670" w:type="dxa"/>
            <w:tcBorders>
              <w:top w:val="nil"/>
              <w:left w:val="nil"/>
              <w:bottom w:val="nil"/>
              <w:right w:val="nil"/>
            </w:tcBorders>
            <w:tcMar>
              <w:right w:w="85" w:type="dxa"/>
            </w:tcMar>
          </w:tcPr>
          <w:p w:rsidR="00211AEA" w:rsidRPr="00835256" w:rsidRDefault="00211AEA"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does it disclose the relevant geology and geological interpretation (Listing Rule 5.8.1 first bullet point)?</w:t>
            </w:r>
            <w:r w:rsidR="005A6AD7" w:rsidRPr="00710666">
              <w:rPr>
                <w:rStyle w:val="FootnoteReference"/>
                <w:rFonts w:ascii="Arial Narrow" w:hAnsi="Arial Narrow"/>
                <w:position w:val="0"/>
                <w:sz w:val="20"/>
                <w:vertAlign w:val="superscript"/>
              </w:rPr>
              <w:footnoteReference w:id="9"/>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211AEA" w:rsidRPr="00835256" w:rsidRDefault="00211AEA" w:rsidP="003B6211">
            <w:pPr>
              <w:pStyle w:val="boxstyle"/>
              <w:jc w:val="left"/>
              <w:rPr>
                <w:rFonts w:ascii="Arial Narrow" w:hAnsi="Arial Narrow"/>
              </w:rPr>
            </w:pPr>
          </w:p>
        </w:tc>
      </w:tr>
      <w:tr w:rsidR="00795ECF" w:rsidRPr="00835256" w:rsidTr="0072155E">
        <w:trPr>
          <w:cantSplit/>
        </w:trPr>
        <w:tc>
          <w:tcPr>
            <w:tcW w:w="284" w:type="dxa"/>
            <w:tcBorders>
              <w:top w:val="nil"/>
              <w:left w:val="nil"/>
              <w:bottom w:val="nil"/>
              <w:right w:val="nil"/>
            </w:tcBorders>
          </w:tcPr>
          <w:p w:rsidR="00795ECF" w:rsidRPr="00835256" w:rsidRDefault="00795ECF"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795ECF" w:rsidRPr="00835256" w:rsidRDefault="00795ECF"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795ECF" w:rsidRPr="00835256" w:rsidRDefault="00795ECF" w:rsidP="003B6211">
            <w:pPr>
              <w:ind w:left="0" w:firstLine="0"/>
              <w:jc w:val="left"/>
              <w:rPr>
                <w:rFonts w:ascii="Arial Narrow" w:hAnsi="Arial Narrow"/>
                <w:sz w:val="20"/>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211AEA" w:rsidRPr="00835256" w:rsidRDefault="00211AEA" w:rsidP="00790B87">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does it disclose the entity’s sampling and sub-sampling techniques (Listing Rule 5.8.1 second bullet point)?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211AEA" w:rsidRPr="00835256" w:rsidRDefault="00211AEA" w:rsidP="003B6211">
            <w:pPr>
              <w:pStyle w:val="boxstyle"/>
              <w:jc w:val="left"/>
              <w:rPr>
                <w:rFonts w:ascii="Arial Narrow" w:hAnsi="Arial Narrow"/>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211AEA" w:rsidRPr="00835256" w:rsidRDefault="00211AEA"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211AEA" w:rsidRPr="00835256" w:rsidRDefault="00211AEA" w:rsidP="003B6211">
            <w:pPr>
              <w:ind w:left="0" w:firstLine="0"/>
              <w:jc w:val="left"/>
              <w:rPr>
                <w:rFonts w:ascii="Arial Narrow" w:hAnsi="Arial Narrow"/>
                <w:sz w:val="20"/>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211AEA" w:rsidRPr="00835256" w:rsidRDefault="00211AEA" w:rsidP="00790B87">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does it disclose the entity’s drilling techniques (Listing Rule 5.8.1 third bullet point)?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211AEA" w:rsidRPr="00835256" w:rsidRDefault="00211AEA" w:rsidP="003B6211">
            <w:pPr>
              <w:pStyle w:val="boxstyle"/>
              <w:jc w:val="left"/>
              <w:rPr>
                <w:rFonts w:ascii="Arial Narrow" w:hAnsi="Arial Narrow"/>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211AEA" w:rsidRPr="00835256" w:rsidRDefault="00211AEA"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211AEA" w:rsidRPr="00835256" w:rsidRDefault="00211AEA" w:rsidP="003B6211">
            <w:pPr>
              <w:ind w:left="0" w:firstLine="0"/>
              <w:jc w:val="left"/>
              <w:rPr>
                <w:rFonts w:ascii="Arial Narrow" w:hAnsi="Arial Narrow"/>
                <w:sz w:val="20"/>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211AEA" w:rsidRPr="00835256" w:rsidRDefault="00211AEA" w:rsidP="00790B87">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does it disclose the criteria used for classification, including drill and data spacing and distribution – this includes separately identifying the drill spacing used to classify each category of mineral resources (inferred, indicated and measured) where estimates for more than one category of mineral resource are reported (Listing Rule 5.8.1 fourth bullet point)?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211AEA" w:rsidRPr="00835256" w:rsidRDefault="00211AEA" w:rsidP="003B6211">
            <w:pPr>
              <w:pStyle w:val="boxstyle"/>
              <w:jc w:val="left"/>
              <w:rPr>
                <w:rFonts w:ascii="Arial Narrow" w:hAnsi="Arial Narrow"/>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211AEA" w:rsidRPr="00835256" w:rsidRDefault="00211AEA"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211AEA" w:rsidRPr="00835256" w:rsidRDefault="00211AEA" w:rsidP="003B6211">
            <w:pPr>
              <w:ind w:left="0" w:firstLine="0"/>
              <w:jc w:val="left"/>
              <w:rPr>
                <w:rFonts w:ascii="Arial Narrow" w:hAnsi="Arial Narrow"/>
                <w:sz w:val="20"/>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211AEA" w:rsidRPr="00835256" w:rsidRDefault="00211AEA" w:rsidP="00790B87">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does it disclose the entity’s sample analysis method (Listing Rule 5.8.1 fifth bullet point)?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211AEA" w:rsidRPr="00835256" w:rsidRDefault="00211AEA" w:rsidP="003B6211">
            <w:pPr>
              <w:pStyle w:val="boxstyle"/>
              <w:jc w:val="left"/>
              <w:rPr>
                <w:rFonts w:ascii="Arial Narrow" w:hAnsi="Arial Narrow"/>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211AEA" w:rsidRPr="00835256" w:rsidRDefault="00211AEA"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211AEA" w:rsidRPr="00835256" w:rsidRDefault="00211AEA" w:rsidP="003B6211">
            <w:pPr>
              <w:ind w:left="0" w:firstLine="0"/>
              <w:jc w:val="left"/>
              <w:rPr>
                <w:rFonts w:ascii="Arial Narrow" w:hAnsi="Arial Narrow"/>
                <w:sz w:val="20"/>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211AEA" w:rsidRPr="00835256" w:rsidRDefault="00211AEA" w:rsidP="00790B87">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does it disclose the entity’s estimation methodology (Listing Rule 5.8.1 sixth bullet point)?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211AEA" w:rsidRPr="00835256" w:rsidRDefault="00211AEA" w:rsidP="003B6211">
            <w:pPr>
              <w:pStyle w:val="boxstyle"/>
              <w:jc w:val="left"/>
              <w:rPr>
                <w:rFonts w:ascii="Arial Narrow" w:hAnsi="Arial Narrow"/>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211AEA" w:rsidRPr="00835256" w:rsidRDefault="00211AEA"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211AEA" w:rsidRPr="00835256" w:rsidRDefault="00211AEA" w:rsidP="003B6211">
            <w:pPr>
              <w:ind w:left="0" w:firstLine="0"/>
              <w:jc w:val="left"/>
              <w:rPr>
                <w:rFonts w:ascii="Arial Narrow" w:hAnsi="Arial Narrow"/>
                <w:sz w:val="20"/>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211AEA" w:rsidRPr="00835256" w:rsidRDefault="00211AEA" w:rsidP="00790B87">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does it disclose the entity’s cut-off grade(s), including the basis for the selected cut-off grade(s) (Listing Rule 5.8.1 seventh bullet point)?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211AEA" w:rsidRPr="00835256" w:rsidRDefault="00211AEA" w:rsidP="003B6211">
            <w:pPr>
              <w:pStyle w:val="boxstyle"/>
              <w:jc w:val="left"/>
              <w:rPr>
                <w:rFonts w:ascii="Arial Narrow" w:hAnsi="Arial Narrow"/>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211AEA" w:rsidRPr="00835256" w:rsidRDefault="00211AEA"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211AEA" w:rsidRPr="00835256" w:rsidRDefault="00211AEA" w:rsidP="003B6211">
            <w:pPr>
              <w:ind w:left="0" w:firstLine="0"/>
              <w:jc w:val="left"/>
              <w:rPr>
                <w:rFonts w:ascii="Arial Narrow" w:hAnsi="Arial Narrow"/>
                <w:sz w:val="20"/>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pStyle w:val="boxstyle"/>
              <w:numPr>
                <w:ilvl w:val="0"/>
                <w:numId w:val="15"/>
              </w:numPr>
              <w:ind w:left="0" w:firstLine="0"/>
              <w:jc w:val="left"/>
              <w:rPr>
                <w:rFonts w:ascii="Arial Narrow" w:hAnsi="Arial Narrow"/>
              </w:rPr>
            </w:pPr>
            <w:bookmarkStart w:id="3" w:name="_Ref462411088"/>
          </w:p>
        </w:tc>
        <w:bookmarkEnd w:id="3"/>
        <w:tc>
          <w:tcPr>
            <w:tcW w:w="5670" w:type="dxa"/>
            <w:tcBorders>
              <w:top w:val="nil"/>
              <w:left w:val="nil"/>
              <w:bottom w:val="nil"/>
              <w:right w:val="nil"/>
            </w:tcBorders>
            <w:tcMar>
              <w:right w:w="85" w:type="dxa"/>
            </w:tcMar>
          </w:tcPr>
          <w:p w:rsidR="00211AEA" w:rsidRPr="00835256" w:rsidRDefault="00211AEA" w:rsidP="00790B87">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does it disclose mining and metallurgical methods and parameters, and other material modifying factors considered to date (Listing Rule 5.8.1 eighth bullet point)?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211AEA" w:rsidRPr="00835256" w:rsidRDefault="00211AEA" w:rsidP="003B6211">
            <w:pPr>
              <w:pStyle w:val="boxstyle"/>
              <w:jc w:val="left"/>
              <w:rPr>
                <w:rFonts w:ascii="Arial Narrow" w:hAnsi="Arial Narrow"/>
              </w:rPr>
            </w:pPr>
          </w:p>
        </w:tc>
      </w:tr>
      <w:tr w:rsidR="00952B76" w:rsidRPr="00835256" w:rsidTr="0072155E">
        <w:trPr>
          <w:cantSplit/>
        </w:trPr>
        <w:tc>
          <w:tcPr>
            <w:tcW w:w="284" w:type="dxa"/>
            <w:tcBorders>
              <w:top w:val="nil"/>
              <w:left w:val="nil"/>
              <w:bottom w:val="nil"/>
              <w:right w:val="nil"/>
            </w:tcBorders>
          </w:tcPr>
          <w:p w:rsidR="00952B76" w:rsidRPr="00835256" w:rsidRDefault="00952B76"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952B76" w:rsidRPr="00835256" w:rsidRDefault="00952B76"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952B76" w:rsidRPr="00835256" w:rsidRDefault="00952B76" w:rsidP="003B6211">
            <w:pPr>
              <w:ind w:left="0" w:firstLine="0"/>
              <w:jc w:val="left"/>
              <w:rPr>
                <w:rFonts w:ascii="Arial Narrow" w:hAnsi="Arial Narrow"/>
                <w:sz w:val="20"/>
              </w:rPr>
            </w:pPr>
          </w:p>
        </w:tc>
      </w:tr>
      <w:tr w:rsidR="00795ECF" w:rsidRPr="00835256" w:rsidTr="0072155E">
        <w:trPr>
          <w:cantSplit/>
        </w:trPr>
        <w:tc>
          <w:tcPr>
            <w:tcW w:w="284" w:type="dxa"/>
            <w:tcBorders>
              <w:top w:val="nil"/>
              <w:left w:val="nil"/>
              <w:bottom w:val="nil"/>
              <w:right w:val="nil"/>
            </w:tcBorders>
          </w:tcPr>
          <w:p w:rsidR="00795ECF" w:rsidRPr="00835256" w:rsidRDefault="00795ECF" w:rsidP="003B6211">
            <w:pPr>
              <w:pStyle w:val="boxstyle"/>
              <w:numPr>
                <w:ilvl w:val="0"/>
                <w:numId w:val="15"/>
              </w:numPr>
              <w:ind w:left="0" w:firstLine="0"/>
              <w:jc w:val="left"/>
              <w:rPr>
                <w:rFonts w:ascii="Arial Narrow" w:hAnsi="Arial Narrow"/>
              </w:rPr>
            </w:pPr>
            <w:bookmarkStart w:id="4" w:name="_Ref377726481"/>
          </w:p>
        </w:tc>
        <w:bookmarkEnd w:id="4"/>
        <w:tc>
          <w:tcPr>
            <w:tcW w:w="5670" w:type="dxa"/>
            <w:tcBorders>
              <w:top w:val="nil"/>
              <w:left w:val="nil"/>
              <w:bottom w:val="nil"/>
              <w:right w:val="nil"/>
            </w:tcBorders>
            <w:tcMar>
              <w:right w:w="85" w:type="dxa"/>
            </w:tcMar>
          </w:tcPr>
          <w:p w:rsidR="00795ECF" w:rsidRPr="00835256" w:rsidRDefault="00795ECF"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is the separate report in relation to each of the criteria in sections 1, 2 and 3 (and 5 if appropriate) of JORC Table 1 (Listing Rule 5.8.2)?</w:t>
            </w:r>
            <w:r w:rsidRPr="00710666">
              <w:rPr>
                <w:rStyle w:val="FootnoteReference"/>
                <w:rFonts w:ascii="Arial Narrow" w:hAnsi="Arial Narrow"/>
                <w:position w:val="0"/>
                <w:sz w:val="20"/>
                <w:vertAlign w:val="superscript"/>
              </w:rPr>
              <w:footnoteReference w:id="10"/>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795ECF" w:rsidRPr="00835256" w:rsidRDefault="00795ECF" w:rsidP="003B6211">
            <w:pPr>
              <w:pStyle w:val="boxstyle"/>
              <w:jc w:val="left"/>
              <w:rPr>
                <w:rFonts w:ascii="Arial Narrow" w:hAnsi="Arial Narrow"/>
              </w:rPr>
            </w:pPr>
          </w:p>
        </w:tc>
      </w:tr>
      <w:tr w:rsidR="00795ECF" w:rsidRPr="00835256" w:rsidTr="0072155E">
        <w:trPr>
          <w:cantSplit/>
        </w:trPr>
        <w:tc>
          <w:tcPr>
            <w:tcW w:w="284" w:type="dxa"/>
            <w:tcBorders>
              <w:top w:val="nil"/>
              <w:left w:val="nil"/>
              <w:bottom w:val="nil"/>
              <w:right w:val="nil"/>
            </w:tcBorders>
          </w:tcPr>
          <w:p w:rsidR="00795ECF" w:rsidRPr="00835256" w:rsidRDefault="00795ECF"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795ECF" w:rsidRPr="00835256" w:rsidRDefault="00795ECF"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795ECF" w:rsidRPr="00835256" w:rsidRDefault="00795ECF" w:rsidP="003B6211">
            <w:pPr>
              <w:ind w:left="0" w:firstLine="0"/>
              <w:jc w:val="left"/>
              <w:rPr>
                <w:rFonts w:ascii="Arial Narrow" w:hAnsi="Arial Narrow"/>
                <w:sz w:val="20"/>
              </w:rPr>
            </w:pPr>
          </w:p>
        </w:tc>
      </w:tr>
      <w:tr w:rsidR="00952B76" w:rsidRPr="00835256" w:rsidTr="006B7202">
        <w:tc>
          <w:tcPr>
            <w:tcW w:w="284" w:type="dxa"/>
            <w:tcBorders>
              <w:top w:val="nil"/>
              <w:left w:val="nil"/>
              <w:bottom w:val="nil"/>
              <w:right w:val="nil"/>
            </w:tcBorders>
          </w:tcPr>
          <w:p w:rsidR="00952B76" w:rsidRPr="00835256" w:rsidRDefault="00952B76" w:rsidP="003B6211">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952B76" w:rsidRPr="00835256" w:rsidRDefault="00952B76" w:rsidP="003B6211">
            <w:pPr>
              <w:spacing w:after="60"/>
              <w:ind w:left="0" w:firstLine="0"/>
              <w:rPr>
                <w:rFonts w:ascii="Arial Narrow" w:hAnsi="Arial Narrow"/>
                <w:color w:val="000000"/>
                <w:sz w:val="20"/>
                <w:lang w:val="en-AU"/>
              </w:rPr>
            </w:pPr>
            <w:r w:rsidRPr="00835256">
              <w:rPr>
                <w:rFonts w:ascii="Arial Narrow" w:hAnsi="Arial Narrow"/>
                <w:color w:val="000000"/>
                <w:sz w:val="20"/>
                <w:lang w:val="en-AU"/>
              </w:rPr>
              <w:t>Please enter “Confirmed” in the column to the right to indicate that the following JORC requirements have been satisfied:</w:t>
            </w:r>
          </w:p>
          <w:p w:rsidR="00952B76" w:rsidRPr="00835256" w:rsidRDefault="00952B76" w:rsidP="003B621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the </w:t>
            </w:r>
            <w:r w:rsidR="006E2841">
              <w:rPr>
                <w:rFonts w:ascii="Arial Narrow" w:hAnsi="Arial Narrow"/>
                <w:color w:val="000000"/>
                <w:sz w:val="20"/>
                <w:lang w:val="en-AU"/>
              </w:rPr>
              <w:t xml:space="preserve">mineral </w:t>
            </w:r>
            <w:r w:rsidRPr="00835256">
              <w:rPr>
                <w:rFonts w:ascii="Arial Narrow" w:hAnsi="Arial Narrow"/>
                <w:color w:val="000000"/>
                <w:sz w:val="20"/>
                <w:lang w:val="en-AU"/>
              </w:rPr>
              <w:t>resource estimate has been appropriately classified according to increasing geological confidence (ie inferred, indicated or measured – JORC clause 20-24);</w:t>
            </w:r>
          </w:p>
          <w:p w:rsidR="00795ECF" w:rsidRPr="00835256" w:rsidRDefault="00795ECF" w:rsidP="003B621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if an estimation of </w:t>
            </w:r>
            <w:r w:rsidR="00342CEC" w:rsidRPr="00835256">
              <w:rPr>
                <w:rFonts w:ascii="Arial Narrow" w:hAnsi="Arial Narrow"/>
                <w:color w:val="000000"/>
                <w:sz w:val="20"/>
                <w:lang w:val="en-AU"/>
              </w:rPr>
              <w:t xml:space="preserve">an </w:t>
            </w:r>
            <w:r w:rsidRPr="00835256">
              <w:rPr>
                <w:rFonts w:ascii="Arial Narrow" w:hAnsi="Arial Narrow"/>
                <w:color w:val="000000"/>
                <w:sz w:val="20"/>
                <w:lang w:val="en-AU"/>
              </w:rPr>
              <w:t>inferred mineral resource is presented on the basis of extrapolation beyond the nominal sampling spacing and taking into account the style of mineralisation, the report contain</w:t>
            </w:r>
            <w:r w:rsidR="001F3EDE" w:rsidRPr="00835256">
              <w:rPr>
                <w:rFonts w:ascii="Arial Narrow" w:hAnsi="Arial Narrow"/>
                <w:color w:val="000000"/>
                <w:sz w:val="20"/>
                <w:lang w:val="en-AU"/>
              </w:rPr>
              <w:t>s</w:t>
            </w:r>
            <w:r w:rsidRPr="00835256">
              <w:rPr>
                <w:rFonts w:ascii="Arial Narrow" w:hAnsi="Arial Narrow"/>
                <w:color w:val="000000"/>
                <w:sz w:val="20"/>
                <w:lang w:val="en-AU"/>
              </w:rPr>
              <w:t xml:space="preserve"> sufficient information to inform the reader of:</w:t>
            </w:r>
          </w:p>
          <w:p w:rsidR="001F3EDE" w:rsidRPr="00835256" w:rsidRDefault="001F3EDE" w:rsidP="00342CEC">
            <w:pPr>
              <w:numPr>
                <w:ilvl w:val="0"/>
                <w:numId w:val="21"/>
              </w:numPr>
              <w:overflowPunct/>
              <w:autoSpaceDE/>
              <w:autoSpaceDN/>
              <w:adjustRightInd/>
              <w:spacing w:after="60"/>
              <w:ind w:left="568" w:hanging="284"/>
              <w:jc w:val="left"/>
              <w:textAlignment w:val="auto"/>
              <w:rPr>
                <w:rFonts w:ascii="Arial Narrow" w:hAnsi="Arial Narrow"/>
                <w:color w:val="000000"/>
                <w:sz w:val="20"/>
                <w:lang w:val="en-AU"/>
              </w:rPr>
            </w:pPr>
            <w:r w:rsidRPr="00835256">
              <w:rPr>
                <w:rFonts w:ascii="Arial Narrow" w:hAnsi="Arial Narrow"/>
                <w:color w:val="000000"/>
                <w:sz w:val="20"/>
                <w:lang w:val="en-AU"/>
              </w:rPr>
              <w:lastRenderedPageBreak/>
              <w:t>the maximum distance that the resource is extrapolated beyond the sample points;</w:t>
            </w:r>
          </w:p>
          <w:p w:rsidR="001F3EDE" w:rsidRPr="00835256" w:rsidRDefault="001F3EDE" w:rsidP="00342CEC">
            <w:pPr>
              <w:numPr>
                <w:ilvl w:val="0"/>
                <w:numId w:val="21"/>
              </w:numPr>
              <w:overflowPunct/>
              <w:autoSpaceDE/>
              <w:autoSpaceDN/>
              <w:adjustRightInd/>
              <w:spacing w:after="60"/>
              <w:ind w:left="568" w:hanging="284"/>
              <w:jc w:val="left"/>
              <w:textAlignment w:val="auto"/>
              <w:rPr>
                <w:rFonts w:ascii="Arial Narrow" w:hAnsi="Arial Narrow"/>
                <w:color w:val="000000"/>
                <w:sz w:val="20"/>
                <w:lang w:val="en-AU"/>
              </w:rPr>
            </w:pPr>
            <w:r w:rsidRPr="00835256">
              <w:rPr>
                <w:rFonts w:ascii="Arial Narrow" w:hAnsi="Arial Narrow"/>
                <w:color w:val="000000"/>
                <w:sz w:val="20"/>
                <w:lang w:val="en-AU"/>
              </w:rPr>
              <w:t>the proportion of the resource that is based on extrapolat</w:t>
            </w:r>
            <w:r w:rsidR="00342CEC" w:rsidRPr="00835256">
              <w:rPr>
                <w:rFonts w:ascii="Arial Narrow" w:hAnsi="Arial Narrow"/>
                <w:color w:val="000000"/>
                <w:sz w:val="20"/>
                <w:lang w:val="en-AU"/>
              </w:rPr>
              <w:t>ed data;</w:t>
            </w:r>
          </w:p>
          <w:p w:rsidR="001F3EDE" w:rsidRPr="00835256" w:rsidRDefault="001F3EDE" w:rsidP="00342CEC">
            <w:pPr>
              <w:numPr>
                <w:ilvl w:val="0"/>
                <w:numId w:val="21"/>
              </w:numPr>
              <w:overflowPunct/>
              <w:autoSpaceDE/>
              <w:autoSpaceDN/>
              <w:adjustRightInd/>
              <w:spacing w:after="60"/>
              <w:ind w:left="568" w:hanging="284"/>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the basis on which the resource </w:t>
            </w:r>
            <w:r w:rsidR="00342CEC" w:rsidRPr="00835256">
              <w:rPr>
                <w:rFonts w:ascii="Arial Narrow" w:hAnsi="Arial Narrow"/>
                <w:color w:val="000000"/>
                <w:sz w:val="20"/>
                <w:lang w:val="en-AU"/>
              </w:rPr>
              <w:t>is extrapolated to these limits; and</w:t>
            </w:r>
          </w:p>
          <w:p w:rsidR="001F3EDE" w:rsidRPr="00835256" w:rsidRDefault="001F3EDE" w:rsidP="00342CEC">
            <w:pPr>
              <w:numPr>
                <w:ilvl w:val="0"/>
                <w:numId w:val="21"/>
              </w:numPr>
              <w:overflowPunct/>
              <w:autoSpaceDE/>
              <w:autoSpaceDN/>
              <w:adjustRightInd/>
              <w:spacing w:after="60"/>
              <w:ind w:left="568" w:hanging="284"/>
              <w:jc w:val="left"/>
              <w:textAlignment w:val="auto"/>
              <w:rPr>
                <w:rFonts w:ascii="Arial Narrow" w:hAnsi="Arial Narrow"/>
                <w:color w:val="000000"/>
                <w:sz w:val="20"/>
                <w:lang w:val="en-AU"/>
              </w:rPr>
            </w:pPr>
            <w:r w:rsidRPr="00835256">
              <w:rPr>
                <w:rFonts w:ascii="Arial Narrow" w:hAnsi="Arial Narrow"/>
                <w:color w:val="000000"/>
                <w:sz w:val="20"/>
                <w:lang w:val="en-AU"/>
              </w:rPr>
              <w:t>a diag</w:t>
            </w:r>
            <w:r w:rsidR="00342CEC" w:rsidRPr="00835256">
              <w:rPr>
                <w:rFonts w:ascii="Arial Narrow" w:hAnsi="Arial Narrow"/>
                <w:color w:val="000000"/>
                <w:sz w:val="20"/>
                <w:lang w:val="en-AU"/>
              </w:rPr>
              <w:t>rammatic representation of the i</w:t>
            </w:r>
            <w:r w:rsidRPr="00835256">
              <w:rPr>
                <w:rFonts w:ascii="Arial Narrow" w:hAnsi="Arial Narrow"/>
                <w:color w:val="000000"/>
                <w:sz w:val="20"/>
                <w:lang w:val="en-AU"/>
              </w:rPr>
              <w:t xml:space="preserve">nferred </w:t>
            </w:r>
            <w:r w:rsidR="006E2841">
              <w:rPr>
                <w:rFonts w:ascii="Arial Narrow" w:hAnsi="Arial Narrow"/>
                <w:color w:val="000000"/>
                <w:sz w:val="20"/>
                <w:lang w:val="en-AU"/>
              </w:rPr>
              <w:t>m</w:t>
            </w:r>
            <w:r w:rsidRPr="00835256">
              <w:rPr>
                <w:rFonts w:ascii="Arial Narrow" w:hAnsi="Arial Narrow"/>
                <w:color w:val="000000"/>
                <w:sz w:val="20"/>
                <w:lang w:val="en-AU"/>
              </w:rPr>
              <w:t xml:space="preserve">ineral </w:t>
            </w:r>
            <w:r w:rsidR="006E2841">
              <w:rPr>
                <w:rFonts w:ascii="Arial Narrow" w:hAnsi="Arial Narrow"/>
                <w:color w:val="000000"/>
                <w:sz w:val="20"/>
                <w:lang w:val="en-AU"/>
              </w:rPr>
              <w:t>r</w:t>
            </w:r>
            <w:r w:rsidRPr="00835256">
              <w:rPr>
                <w:rFonts w:ascii="Arial Narrow" w:hAnsi="Arial Narrow"/>
                <w:color w:val="000000"/>
                <w:sz w:val="20"/>
                <w:lang w:val="en-AU"/>
              </w:rPr>
              <w:t>esource showing clearly the extrapolated</w:t>
            </w:r>
            <w:r w:rsidR="00342CEC" w:rsidRPr="00835256">
              <w:rPr>
                <w:rFonts w:ascii="Arial Narrow" w:hAnsi="Arial Narrow"/>
                <w:color w:val="000000"/>
                <w:sz w:val="20"/>
                <w:lang w:val="en-AU"/>
              </w:rPr>
              <w:t xml:space="preserve"> part of the estimated resource (JORC clause 21);</w:t>
            </w:r>
          </w:p>
          <w:p w:rsidR="00952B76" w:rsidRPr="00835256" w:rsidRDefault="00952B76" w:rsidP="003B621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the </w:t>
            </w:r>
            <w:r w:rsidR="006E2841">
              <w:rPr>
                <w:rFonts w:ascii="Arial Narrow" w:hAnsi="Arial Narrow"/>
                <w:color w:val="000000"/>
                <w:sz w:val="20"/>
                <w:lang w:val="en-AU"/>
              </w:rPr>
              <w:t xml:space="preserve">mineral </w:t>
            </w:r>
            <w:r w:rsidR="006E2841" w:rsidRPr="00835256">
              <w:rPr>
                <w:rFonts w:ascii="Arial Narrow" w:hAnsi="Arial Narrow"/>
                <w:color w:val="000000"/>
                <w:sz w:val="20"/>
                <w:lang w:val="en-AU"/>
              </w:rPr>
              <w:t xml:space="preserve">resource </w:t>
            </w:r>
            <w:r w:rsidRPr="00835256">
              <w:rPr>
                <w:rFonts w:ascii="Arial Narrow" w:hAnsi="Arial Narrow"/>
                <w:color w:val="000000"/>
                <w:sz w:val="20"/>
                <w:lang w:val="en-AU"/>
              </w:rPr>
              <w:t>estimate has been rounded off to appropriately significant figures, is referred to as an estimate not as a calculation and, in the case of inferred mineral resources, is qualified by the term ‘approximately’ (JORC clause 25);</w:t>
            </w:r>
          </w:p>
          <w:p w:rsidR="00952B76" w:rsidRPr="00835256" w:rsidRDefault="00952B76" w:rsidP="003B621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where contained metal or mineral content has been reported, corresponding tonnages and grade have also been reported (JORC clause 26);</w:t>
            </w:r>
          </w:p>
          <w:p w:rsidR="00952B76" w:rsidRPr="00835256" w:rsidRDefault="00952B76" w:rsidP="003B621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inferred, indicated or measured resources have not been reported as a combined estimate unless details for the individual categories have also been provided (JORC clause 26);</w:t>
            </w:r>
            <w:r w:rsidR="00211AEA" w:rsidRPr="00835256">
              <w:rPr>
                <w:rFonts w:ascii="Arial Narrow" w:hAnsi="Arial Narrow"/>
                <w:color w:val="000000"/>
                <w:sz w:val="20"/>
                <w:lang w:val="en-AU"/>
              </w:rPr>
              <w:t xml:space="preserve"> and</w:t>
            </w:r>
          </w:p>
          <w:p w:rsidR="00952B76" w:rsidRPr="00835256" w:rsidRDefault="00952B76" w:rsidP="007D06BB">
            <w:pPr>
              <w:numPr>
                <w:ilvl w:val="0"/>
                <w:numId w:val="21"/>
              </w:numPr>
              <w:overflowPunct/>
              <w:autoSpaceDE/>
              <w:autoSpaceDN/>
              <w:adjustRightInd/>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resource estimates have not been aggregated with reserve estimates to report a single combined figure (JORC clause 26).</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952B76" w:rsidRPr="00835256" w:rsidRDefault="00952B76" w:rsidP="003B6211">
            <w:pPr>
              <w:pStyle w:val="boxstyle"/>
              <w:jc w:val="left"/>
              <w:rPr>
                <w:rFonts w:ascii="Arial Narrow" w:hAnsi="Arial Narrow"/>
              </w:rPr>
            </w:pPr>
          </w:p>
        </w:tc>
      </w:tr>
      <w:tr w:rsidR="004E05DC" w:rsidRPr="00835256" w:rsidTr="0072155E">
        <w:trPr>
          <w:cantSplit/>
        </w:trPr>
        <w:tc>
          <w:tcPr>
            <w:tcW w:w="9072" w:type="dxa"/>
            <w:gridSpan w:val="3"/>
            <w:tcBorders>
              <w:top w:val="nil"/>
              <w:left w:val="nil"/>
              <w:bottom w:val="nil"/>
            </w:tcBorders>
            <w:tcMar>
              <w:left w:w="0" w:type="dxa"/>
              <w:right w:w="0" w:type="dxa"/>
            </w:tcMar>
          </w:tcPr>
          <w:p w:rsidR="004E05DC" w:rsidRPr="00835256" w:rsidRDefault="004E05DC" w:rsidP="00576FB1">
            <w:pPr>
              <w:pStyle w:val="Heading4"/>
              <w:keepNext/>
              <w:spacing w:before="240" w:after="120"/>
              <w:jc w:val="left"/>
              <w:rPr>
                <w:rFonts w:ascii="Arial Narrow" w:hAnsi="Arial Narrow"/>
              </w:rPr>
            </w:pPr>
            <w:r w:rsidRPr="00835256">
              <w:rPr>
                <w:rFonts w:ascii="Arial Narrow" w:hAnsi="Arial Narrow"/>
              </w:rPr>
              <w:t>Ore reserves</w:t>
            </w:r>
          </w:p>
          <w:p w:rsidR="004E05DC" w:rsidRPr="00835256" w:rsidRDefault="004E05DC" w:rsidP="004E05DC">
            <w:pPr>
              <w:pStyle w:val="Heading2"/>
              <w:spacing w:after="120"/>
              <w:jc w:val="left"/>
              <w:rPr>
                <w:rFonts w:ascii="Arial Narrow" w:hAnsi="Arial Narrow"/>
              </w:rPr>
            </w:pPr>
            <w:r w:rsidRPr="00835256">
              <w:rPr>
                <w:rFonts w:ascii="Arial Narrow" w:hAnsi="Arial Narrow"/>
                <w:b w:val="0"/>
                <w:i/>
                <w:color w:val="000000"/>
                <w:sz w:val="18"/>
              </w:rPr>
              <w:t>Complete this section if the Offer Document includes any reference to an estimate of ore reserves.</w:t>
            </w:r>
          </w:p>
        </w:tc>
      </w:tr>
      <w:tr w:rsidR="00211AEA" w:rsidRPr="00835256" w:rsidTr="0072155E">
        <w:trPr>
          <w:cantSplit/>
          <w:trHeight w:val="897"/>
        </w:trPr>
        <w:tc>
          <w:tcPr>
            <w:tcW w:w="284" w:type="dxa"/>
            <w:tcBorders>
              <w:top w:val="nil"/>
              <w:left w:val="nil"/>
              <w:bottom w:val="nil"/>
              <w:right w:val="nil"/>
            </w:tcBorders>
          </w:tcPr>
          <w:p w:rsidR="00211AEA" w:rsidRPr="00835256" w:rsidRDefault="00211AEA" w:rsidP="003B621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211AEA" w:rsidRPr="00835256" w:rsidRDefault="00211AEA" w:rsidP="00122C1C">
            <w:pPr>
              <w:overflowPunct/>
              <w:ind w:left="0" w:firstLine="0"/>
              <w:jc w:val="left"/>
              <w:textAlignment w:val="auto"/>
              <w:rPr>
                <w:rFonts w:ascii="Arial Narrow" w:hAnsi="Arial Narrow"/>
                <w:color w:val="000000"/>
                <w:sz w:val="20"/>
                <w:lang w:val="en-AU"/>
              </w:rPr>
            </w:pPr>
            <w:r w:rsidRPr="005A6AD7">
              <w:rPr>
                <w:rFonts w:ascii="Arial Narrow" w:hAnsi="Arial Narrow"/>
                <w:color w:val="000000"/>
                <w:sz w:val="20"/>
                <w:lang w:val="en-AU"/>
              </w:rPr>
              <w:t xml:space="preserve">Where in the Offer Document does it disclose the material assumptions and the outcomes from </w:t>
            </w:r>
            <w:r w:rsidR="005A6AD7" w:rsidRPr="005A6AD7">
              <w:rPr>
                <w:rFonts w:ascii="Arial Narrow" w:hAnsi="Arial Narrow"/>
                <w:color w:val="000000"/>
                <w:sz w:val="20"/>
                <w:lang w:val="en-AU"/>
              </w:rPr>
              <w:t>any</w:t>
            </w:r>
            <w:r w:rsidRPr="005A6AD7">
              <w:rPr>
                <w:rFonts w:ascii="Arial Narrow" w:hAnsi="Arial Narrow"/>
                <w:color w:val="000000"/>
                <w:sz w:val="20"/>
                <w:lang w:val="en-AU"/>
              </w:rPr>
              <w:t xml:space="preserve"> pre-feasibility study (PFS) or feasibility study (FS), as the case may be, defining the ore reserves (Listing Rule 5.9.1 first bullet point)?</w:t>
            </w:r>
            <w:r w:rsidRPr="00710666">
              <w:rPr>
                <w:rStyle w:val="FootnoteReference"/>
                <w:rFonts w:ascii="Arial Narrow" w:hAnsi="Arial Narrow"/>
                <w:position w:val="0"/>
                <w:sz w:val="20"/>
                <w:vertAlign w:val="superscript"/>
              </w:rPr>
              <w:footnoteReference w:id="11"/>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211AEA" w:rsidRPr="00835256" w:rsidRDefault="00211AEA" w:rsidP="003B6211">
            <w:pPr>
              <w:pStyle w:val="boxstyle"/>
              <w:jc w:val="left"/>
              <w:rPr>
                <w:rFonts w:ascii="Arial Narrow" w:hAnsi="Arial Narrow"/>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211AEA" w:rsidRPr="00835256" w:rsidRDefault="00211AEA"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211AEA" w:rsidRPr="00835256" w:rsidRDefault="00211AEA" w:rsidP="003B6211">
            <w:pPr>
              <w:ind w:left="0" w:firstLine="0"/>
              <w:jc w:val="left"/>
              <w:rPr>
                <w:rFonts w:ascii="Arial Narrow" w:hAnsi="Arial Narrow"/>
                <w:sz w:val="20"/>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211AEA" w:rsidRPr="00835256" w:rsidRDefault="00211AEA"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does it disclose the criteria used for classification, including the classification of the mineral resources on which the ore reserves are based and the confidence in the modifying factors applied (Listing Rule 5.9.1 second bullet point)?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211AEA" w:rsidRPr="00835256" w:rsidRDefault="00211AEA" w:rsidP="003B6211">
            <w:pPr>
              <w:pStyle w:val="boxstyle"/>
              <w:jc w:val="left"/>
              <w:rPr>
                <w:rFonts w:ascii="Arial Narrow" w:hAnsi="Arial Narrow"/>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211AEA" w:rsidRPr="00835256" w:rsidRDefault="00211AEA"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211AEA" w:rsidRPr="00835256" w:rsidRDefault="00211AEA" w:rsidP="003B6211">
            <w:pPr>
              <w:ind w:left="0" w:firstLine="0"/>
              <w:jc w:val="left"/>
              <w:rPr>
                <w:rFonts w:ascii="Arial Narrow" w:hAnsi="Arial Narrow"/>
                <w:sz w:val="20"/>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211AEA" w:rsidRPr="00835256" w:rsidRDefault="00211AEA"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does it disclose the mining method selected and other mining assumptions, including mining recovery factors and mining dilution factors (Listing Rule 5.9.1 third bullet point)?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211AEA" w:rsidRPr="00835256" w:rsidRDefault="00211AEA" w:rsidP="003B6211">
            <w:pPr>
              <w:pStyle w:val="boxstyle"/>
              <w:jc w:val="left"/>
              <w:rPr>
                <w:rFonts w:ascii="Arial Narrow" w:hAnsi="Arial Narrow"/>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211AEA" w:rsidRPr="00835256" w:rsidRDefault="00211AEA"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211AEA" w:rsidRPr="00835256" w:rsidRDefault="00211AEA" w:rsidP="003B6211">
            <w:pPr>
              <w:ind w:left="0" w:firstLine="0"/>
              <w:jc w:val="left"/>
              <w:rPr>
                <w:rFonts w:ascii="Arial Narrow" w:hAnsi="Arial Narrow"/>
                <w:sz w:val="20"/>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211AEA" w:rsidRPr="00835256" w:rsidRDefault="00211AEA"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does it disclose the processing method selected and other processing assumptions, including the recovery factors applied and the allowances made for deleterious elements (Listing Rule 5.9.1 fourth bullet point)?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211AEA" w:rsidRPr="00835256" w:rsidRDefault="00211AEA" w:rsidP="003B6211">
            <w:pPr>
              <w:pStyle w:val="boxstyle"/>
              <w:jc w:val="left"/>
              <w:rPr>
                <w:rFonts w:ascii="Arial Narrow" w:hAnsi="Arial Narrow"/>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211AEA" w:rsidRPr="00835256" w:rsidRDefault="00211AEA"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211AEA" w:rsidRPr="00835256" w:rsidRDefault="00211AEA" w:rsidP="003B6211">
            <w:pPr>
              <w:ind w:left="0" w:firstLine="0"/>
              <w:jc w:val="left"/>
              <w:rPr>
                <w:rFonts w:ascii="Arial Narrow" w:hAnsi="Arial Narrow"/>
                <w:sz w:val="20"/>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211AEA" w:rsidRPr="00835256" w:rsidRDefault="00211AEA"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does it disclose the basis of the cut-off grade(s) or quality parameters applied (Listing Rule 5.9.1 fifth bullet point)?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211AEA" w:rsidRPr="00835256" w:rsidRDefault="00211AEA" w:rsidP="003B6211">
            <w:pPr>
              <w:pStyle w:val="boxstyle"/>
              <w:jc w:val="left"/>
              <w:rPr>
                <w:rFonts w:ascii="Arial Narrow" w:hAnsi="Arial Narrow"/>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211AEA" w:rsidRPr="00835256" w:rsidRDefault="00211AEA"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211AEA" w:rsidRPr="00835256" w:rsidRDefault="00211AEA" w:rsidP="003B6211">
            <w:pPr>
              <w:ind w:left="0" w:firstLine="0"/>
              <w:jc w:val="left"/>
              <w:rPr>
                <w:rFonts w:ascii="Arial Narrow" w:hAnsi="Arial Narrow"/>
                <w:sz w:val="20"/>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211AEA" w:rsidRPr="00835256" w:rsidRDefault="00211AEA"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does it disclose estimation methodology (Listing Rule 5.9.1 sixth bullet point)?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211AEA" w:rsidRPr="00835256" w:rsidRDefault="00211AEA" w:rsidP="003B6211">
            <w:pPr>
              <w:pStyle w:val="boxstyle"/>
              <w:jc w:val="left"/>
              <w:rPr>
                <w:rFonts w:ascii="Arial Narrow" w:hAnsi="Arial Narrow"/>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211AEA" w:rsidRPr="00835256" w:rsidRDefault="00211AEA"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211AEA" w:rsidRPr="00835256" w:rsidRDefault="00211AEA" w:rsidP="003B6211">
            <w:pPr>
              <w:ind w:left="0" w:firstLine="0"/>
              <w:jc w:val="left"/>
              <w:rPr>
                <w:rFonts w:ascii="Arial Narrow" w:hAnsi="Arial Narrow"/>
                <w:sz w:val="20"/>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211AEA" w:rsidRPr="00835256" w:rsidRDefault="00211AEA"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does it disclose material modifying factors, including the status of environmental approvals, mining tenements and approvals, other governmental factors and infrastructure requirements for the selected mining methods and for transportation to market (Listing Rule 5.9.1 seventh bullet point)?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211AEA" w:rsidRPr="00835256" w:rsidRDefault="00211AEA" w:rsidP="003B6211">
            <w:pPr>
              <w:pStyle w:val="boxstyle"/>
              <w:jc w:val="left"/>
              <w:rPr>
                <w:rFonts w:ascii="Arial Narrow" w:hAnsi="Arial Narrow"/>
              </w:rPr>
            </w:pPr>
          </w:p>
        </w:tc>
      </w:tr>
      <w:tr w:rsidR="00211AEA" w:rsidRPr="00835256" w:rsidTr="0072155E">
        <w:trPr>
          <w:cantSplit/>
        </w:trPr>
        <w:tc>
          <w:tcPr>
            <w:tcW w:w="284" w:type="dxa"/>
            <w:tcBorders>
              <w:top w:val="nil"/>
              <w:left w:val="nil"/>
              <w:bottom w:val="nil"/>
              <w:right w:val="nil"/>
            </w:tcBorders>
          </w:tcPr>
          <w:p w:rsidR="00211AEA" w:rsidRPr="00835256" w:rsidRDefault="00211AEA"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211AEA" w:rsidRPr="00835256" w:rsidRDefault="00211AEA"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211AEA" w:rsidRPr="00835256" w:rsidRDefault="00211AEA" w:rsidP="003B6211">
            <w:pPr>
              <w:ind w:left="0" w:firstLine="0"/>
              <w:jc w:val="left"/>
              <w:rPr>
                <w:rFonts w:ascii="Arial Narrow" w:hAnsi="Arial Narrow"/>
                <w:sz w:val="20"/>
              </w:rPr>
            </w:pPr>
          </w:p>
        </w:tc>
      </w:tr>
      <w:tr w:rsidR="0072256D" w:rsidRPr="00835256" w:rsidTr="0072155E">
        <w:trPr>
          <w:cantSplit/>
        </w:trPr>
        <w:tc>
          <w:tcPr>
            <w:tcW w:w="284" w:type="dxa"/>
            <w:tcBorders>
              <w:top w:val="nil"/>
              <w:left w:val="nil"/>
              <w:bottom w:val="nil"/>
              <w:right w:val="nil"/>
            </w:tcBorders>
          </w:tcPr>
          <w:p w:rsidR="0072256D" w:rsidRPr="00835256" w:rsidRDefault="0072256D" w:rsidP="003B621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72256D" w:rsidRPr="00835256" w:rsidRDefault="0072256D"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is the separate report in relation to each of the criteria in sections 1, 2, 3 and 4 (and 5 if appropriate) of JORC Table 1 (Listing Rule 5.9.2)?</w:t>
            </w:r>
            <w:r w:rsidRPr="00710666">
              <w:rPr>
                <w:rStyle w:val="FootnoteReference"/>
                <w:rFonts w:ascii="Arial Narrow" w:hAnsi="Arial Narrow"/>
                <w:position w:val="0"/>
                <w:sz w:val="20"/>
                <w:vertAlign w:val="superscript"/>
              </w:rPr>
              <w:footnoteReference w:id="12"/>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72256D" w:rsidRPr="00835256" w:rsidRDefault="0072256D" w:rsidP="003B6211">
            <w:pPr>
              <w:pStyle w:val="boxstyle"/>
              <w:jc w:val="left"/>
              <w:rPr>
                <w:rFonts w:ascii="Arial Narrow" w:hAnsi="Arial Narrow"/>
              </w:rPr>
            </w:pPr>
          </w:p>
        </w:tc>
      </w:tr>
      <w:tr w:rsidR="00BD44EE" w:rsidRPr="00835256" w:rsidTr="0072155E">
        <w:trPr>
          <w:cantSplit/>
        </w:trPr>
        <w:tc>
          <w:tcPr>
            <w:tcW w:w="284" w:type="dxa"/>
            <w:tcBorders>
              <w:top w:val="nil"/>
              <w:left w:val="nil"/>
              <w:bottom w:val="nil"/>
              <w:right w:val="nil"/>
            </w:tcBorders>
          </w:tcPr>
          <w:p w:rsidR="00BD44EE" w:rsidRPr="00835256" w:rsidRDefault="00BD44EE" w:rsidP="003B621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BD44EE" w:rsidRPr="00835256" w:rsidRDefault="00BD44EE" w:rsidP="003B621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D44EE" w:rsidRPr="00835256" w:rsidRDefault="00BD44EE" w:rsidP="003B6211">
            <w:pPr>
              <w:ind w:left="0" w:firstLine="0"/>
              <w:jc w:val="left"/>
              <w:rPr>
                <w:rFonts w:ascii="Arial Narrow" w:hAnsi="Arial Narrow"/>
                <w:sz w:val="20"/>
              </w:rPr>
            </w:pPr>
          </w:p>
        </w:tc>
      </w:tr>
      <w:tr w:rsidR="00BD44EE" w:rsidRPr="00835256" w:rsidTr="0072155E">
        <w:trPr>
          <w:cantSplit/>
        </w:trPr>
        <w:tc>
          <w:tcPr>
            <w:tcW w:w="284" w:type="dxa"/>
            <w:tcBorders>
              <w:top w:val="nil"/>
              <w:left w:val="nil"/>
              <w:bottom w:val="nil"/>
              <w:right w:val="nil"/>
            </w:tcBorders>
          </w:tcPr>
          <w:p w:rsidR="00BD44EE" w:rsidRPr="00835256" w:rsidRDefault="00BD44EE" w:rsidP="003B6211">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BD44EE" w:rsidRPr="00835256" w:rsidRDefault="00BD44EE" w:rsidP="003B6211">
            <w:pPr>
              <w:spacing w:after="60"/>
              <w:ind w:left="0" w:firstLine="0"/>
              <w:rPr>
                <w:rFonts w:ascii="Arial Narrow" w:hAnsi="Arial Narrow"/>
                <w:color w:val="000000"/>
                <w:sz w:val="20"/>
                <w:lang w:val="en-AU"/>
              </w:rPr>
            </w:pPr>
            <w:r w:rsidRPr="00835256">
              <w:rPr>
                <w:rFonts w:ascii="Arial Narrow" w:hAnsi="Arial Narrow"/>
                <w:color w:val="000000"/>
                <w:sz w:val="20"/>
                <w:lang w:val="en-AU"/>
              </w:rPr>
              <w:t>Please enter “Confirmed” in the column to the right to indicate that the following JORC requirements have been satisfied:</w:t>
            </w:r>
          </w:p>
          <w:p w:rsidR="00BD44EE" w:rsidRPr="00835256" w:rsidRDefault="00BD44EE" w:rsidP="003B621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the reserve estimate has been appropriately classified </w:t>
            </w:r>
            <w:r w:rsidR="00952B76" w:rsidRPr="00835256">
              <w:rPr>
                <w:rFonts w:ascii="Arial Narrow" w:hAnsi="Arial Narrow"/>
                <w:color w:val="000000"/>
                <w:sz w:val="20"/>
                <w:lang w:val="en-AU"/>
              </w:rPr>
              <w:t xml:space="preserve">according to increasing geological confidence </w:t>
            </w:r>
            <w:r w:rsidRPr="00835256">
              <w:rPr>
                <w:rFonts w:ascii="Arial Narrow" w:hAnsi="Arial Narrow"/>
                <w:color w:val="000000"/>
                <w:sz w:val="20"/>
                <w:lang w:val="en-AU"/>
              </w:rPr>
              <w:t>(</w:t>
            </w:r>
            <w:r w:rsidR="00862849" w:rsidRPr="00835256">
              <w:rPr>
                <w:rFonts w:ascii="Arial Narrow" w:hAnsi="Arial Narrow"/>
                <w:color w:val="000000"/>
                <w:sz w:val="20"/>
                <w:lang w:val="en-AU"/>
              </w:rPr>
              <w:t xml:space="preserve">ie </w:t>
            </w:r>
            <w:r w:rsidR="00952B76" w:rsidRPr="00835256">
              <w:rPr>
                <w:rFonts w:ascii="Arial Narrow" w:hAnsi="Arial Narrow"/>
                <w:color w:val="000000"/>
                <w:sz w:val="20"/>
                <w:lang w:val="en-AU"/>
              </w:rPr>
              <w:t xml:space="preserve">probable or </w:t>
            </w:r>
            <w:r w:rsidRPr="00835256">
              <w:rPr>
                <w:rFonts w:ascii="Arial Narrow" w:hAnsi="Arial Narrow"/>
                <w:color w:val="000000"/>
                <w:sz w:val="20"/>
                <w:lang w:val="en-AU"/>
              </w:rPr>
              <w:t>proved</w:t>
            </w:r>
            <w:r w:rsidR="00862849" w:rsidRPr="00835256">
              <w:rPr>
                <w:rFonts w:ascii="Arial Narrow" w:hAnsi="Arial Narrow"/>
                <w:color w:val="000000"/>
                <w:sz w:val="20"/>
                <w:lang w:val="en-AU"/>
              </w:rPr>
              <w:t> – JORC clause 29-32</w:t>
            </w:r>
            <w:r w:rsidRPr="00835256">
              <w:rPr>
                <w:rFonts w:ascii="Arial Narrow" w:hAnsi="Arial Narrow"/>
                <w:color w:val="000000"/>
                <w:sz w:val="20"/>
                <w:lang w:val="en-AU"/>
              </w:rPr>
              <w:t>);</w:t>
            </w:r>
          </w:p>
          <w:p w:rsidR="00862849" w:rsidRPr="00835256" w:rsidRDefault="00862849" w:rsidP="003B621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the reserve estimate has been rounded off to appropriately significant figures (JORC clause 33);</w:t>
            </w:r>
          </w:p>
          <w:p w:rsidR="00862849" w:rsidRPr="00835256" w:rsidRDefault="00862849" w:rsidP="003B621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where </w:t>
            </w:r>
            <w:r w:rsidR="00952B76" w:rsidRPr="00835256">
              <w:rPr>
                <w:rFonts w:ascii="Arial Narrow" w:hAnsi="Arial Narrow"/>
                <w:color w:val="000000"/>
                <w:sz w:val="20"/>
                <w:lang w:val="en-AU"/>
              </w:rPr>
              <w:t xml:space="preserve">present </w:t>
            </w:r>
            <w:r w:rsidRPr="00835256">
              <w:rPr>
                <w:rFonts w:ascii="Arial Narrow" w:hAnsi="Arial Narrow"/>
                <w:color w:val="000000"/>
                <w:sz w:val="20"/>
                <w:lang w:val="en-AU"/>
              </w:rPr>
              <w:t>metal or mineral content has been reported, corresponding tonnages and grade have also been reported (JORC clause 34);</w:t>
            </w:r>
          </w:p>
          <w:p w:rsidR="00BD44EE" w:rsidRPr="00835256" w:rsidRDefault="00BD44EE" w:rsidP="003B621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proved and probable reserves have not been reported as a combined estimate unless details for the individual categories have also </w:t>
            </w:r>
            <w:r w:rsidR="00862849" w:rsidRPr="00835256">
              <w:rPr>
                <w:rFonts w:ascii="Arial Narrow" w:hAnsi="Arial Narrow"/>
                <w:color w:val="000000"/>
                <w:sz w:val="20"/>
                <w:lang w:val="en-AU"/>
              </w:rPr>
              <w:t xml:space="preserve">been </w:t>
            </w:r>
            <w:r w:rsidRPr="00835256">
              <w:rPr>
                <w:rFonts w:ascii="Arial Narrow" w:hAnsi="Arial Narrow"/>
                <w:color w:val="000000"/>
                <w:sz w:val="20"/>
                <w:lang w:val="en-AU"/>
              </w:rPr>
              <w:t>provided</w:t>
            </w:r>
            <w:r w:rsidR="00862849" w:rsidRPr="00835256">
              <w:rPr>
                <w:rFonts w:ascii="Arial Narrow" w:hAnsi="Arial Narrow"/>
                <w:color w:val="000000"/>
                <w:sz w:val="20"/>
                <w:lang w:val="en-AU"/>
              </w:rPr>
              <w:t xml:space="preserve"> (JORC clause 34)</w:t>
            </w:r>
            <w:r w:rsidRPr="00835256">
              <w:rPr>
                <w:rFonts w:ascii="Arial Narrow" w:hAnsi="Arial Narrow"/>
                <w:color w:val="000000"/>
                <w:sz w:val="20"/>
                <w:lang w:val="en-AU"/>
              </w:rPr>
              <w:t>;</w:t>
            </w:r>
          </w:p>
          <w:p w:rsidR="00BD44EE" w:rsidRPr="00835256" w:rsidRDefault="00BD44EE" w:rsidP="003B6211">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reserve estimates have not been aggregated with resource estimates to report a single combined figure</w:t>
            </w:r>
            <w:r w:rsidR="00862849" w:rsidRPr="00835256">
              <w:rPr>
                <w:rFonts w:ascii="Arial Narrow" w:hAnsi="Arial Narrow"/>
                <w:color w:val="000000"/>
                <w:sz w:val="20"/>
                <w:lang w:val="en-AU"/>
              </w:rPr>
              <w:t xml:space="preserve"> (JORC clause 36); and</w:t>
            </w:r>
          </w:p>
          <w:p w:rsidR="00BD44EE" w:rsidRPr="00835256" w:rsidRDefault="00BD44EE" w:rsidP="0086284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where figures for both resources and reserves are reported, a statement has been included in the Offer Document which clearly indicates whether the resources are inclusive of, or additional to, the reserves</w:t>
            </w:r>
            <w:r w:rsidR="00862849" w:rsidRPr="00835256">
              <w:rPr>
                <w:rFonts w:ascii="Arial Narrow" w:hAnsi="Arial Narrow"/>
                <w:color w:val="000000"/>
                <w:sz w:val="20"/>
                <w:lang w:val="en-AU"/>
              </w:rPr>
              <w:t xml:space="preserve"> (JORC clause 36)</w:t>
            </w:r>
            <w:r w:rsidRPr="0083525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D44EE" w:rsidRPr="00835256" w:rsidRDefault="00BD44EE" w:rsidP="003B6211">
            <w:pPr>
              <w:pStyle w:val="boxstyle"/>
              <w:jc w:val="left"/>
              <w:rPr>
                <w:rFonts w:ascii="Arial Narrow" w:hAnsi="Arial Narrow"/>
              </w:rPr>
            </w:pPr>
          </w:p>
        </w:tc>
      </w:tr>
      <w:tr w:rsidR="00786C55" w:rsidRPr="00835256" w:rsidTr="0072155E">
        <w:trPr>
          <w:cantSplit/>
        </w:trPr>
        <w:tc>
          <w:tcPr>
            <w:tcW w:w="9072" w:type="dxa"/>
            <w:gridSpan w:val="3"/>
            <w:tcBorders>
              <w:top w:val="nil"/>
              <w:left w:val="nil"/>
              <w:bottom w:val="nil"/>
            </w:tcBorders>
            <w:tcMar>
              <w:left w:w="0" w:type="dxa"/>
              <w:right w:w="0" w:type="dxa"/>
            </w:tcMar>
          </w:tcPr>
          <w:p w:rsidR="00786C55" w:rsidRPr="00835256" w:rsidRDefault="00786C55" w:rsidP="00576FB1">
            <w:pPr>
              <w:pStyle w:val="Heading4"/>
              <w:keepNext/>
              <w:spacing w:before="240" w:after="120"/>
              <w:jc w:val="left"/>
              <w:rPr>
                <w:rFonts w:ascii="Arial Narrow" w:hAnsi="Arial Narrow"/>
              </w:rPr>
            </w:pPr>
            <w:r w:rsidRPr="00835256">
              <w:rPr>
                <w:rFonts w:ascii="Arial Narrow" w:hAnsi="Arial Narrow"/>
              </w:rPr>
              <w:t>Production targets or financial information derived from production target</w:t>
            </w:r>
            <w:r w:rsidR="001E30B3" w:rsidRPr="00835256">
              <w:rPr>
                <w:rFonts w:ascii="Arial Narrow" w:hAnsi="Arial Narrow"/>
              </w:rPr>
              <w:t>s</w:t>
            </w:r>
          </w:p>
          <w:p w:rsidR="00786C55" w:rsidRPr="00835256" w:rsidRDefault="00786C55" w:rsidP="00786C55">
            <w:pPr>
              <w:pStyle w:val="Heading2"/>
              <w:spacing w:after="120"/>
              <w:jc w:val="left"/>
              <w:rPr>
                <w:rFonts w:ascii="Arial Narrow" w:hAnsi="Arial Narrow"/>
              </w:rPr>
            </w:pPr>
            <w:r w:rsidRPr="00835256">
              <w:rPr>
                <w:rFonts w:ascii="Arial Narrow" w:hAnsi="Arial Narrow"/>
                <w:b w:val="0"/>
                <w:i/>
                <w:color w:val="000000"/>
                <w:sz w:val="18"/>
              </w:rPr>
              <w:t>Complete this section if the Offer Document includes any reference to a production target or financial information derived from a production target (such as forecast revenues, forecast costs of production, forecast capex, a net present value, internal rate of return or payback period)</w:t>
            </w:r>
            <w:r w:rsidR="009153D8" w:rsidRPr="00835256">
              <w:rPr>
                <w:rFonts w:ascii="Arial Narrow" w:hAnsi="Arial Narrow"/>
                <w:b w:val="0"/>
                <w:i/>
                <w:color w:val="000000"/>
                <w:sz w:val="18"/>
              </w:rPr>
              <w:t>.</w:t>
            </w:r>
          </w:p>
        </w:tc>
      </w:tr>
      <w:tr w:rsidR="00786C55" w:rsidRPr="00835256" w:rsidTr="0072155E">
        <w:trPr>
          <w:cantSplit/>
        </w:trPr>
        <w:tc>
          <w:tcPr>
            <w:tcW w:w="284" w:type="dxa"/>
            <w:tcBorders>
              <w:top w:val="nil"/>
              <w:left w:val="nil"/>
              <w:bottom w:val="nil"/>
              <w:right w:val="nil"/>
            </w:tcBorders>
          </w:tcPr>
          <w:p w:rsidR="00786C55" w:rsidRPr="00835256" w:rsidRDefault="00786C55" w:rsidP="00183E8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786C55" w:rsidRPr="00835256" w:rsidRDefault="00786C55"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Where in the Offer Document does it disclose the </w:t>
            </w:r>
            <w:r w:rsidR="001E30B3" w:rsidRPr="00835256">
              <w:rPr>
                <w:rFonts w:ascii="Arial Narrow" w:hAnsi="Arial Narrow"/>
                <w:color w:val="000000"/>
                <w:sz w:val="20"/>
                <w:lang w:val="en-AU"/>
              </w:rPr>
              <w:t>material assumptions on which the production target is based (Listing Rule 5.16.1)</w:t>
            </w:r>
            <w:r w:rsidRPr="00835256">
              <w:rPr>
                <w:rFonts w:ascii="Arial Narrow" w:hAnsi="Arial Narrow" w:cs="Arial"/>
                <w:sz w:val="20"/>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786C55" w:rsidRPr="00835256" w:rsidRDefault="00786C55" w:rsidP="00183E81">
            <w:pPr>
              <w:pStyle w:val="boxstyle"/>
              <w:jc w:val="left"/>
              <w:rPr>
                <w:rFonts w:ascii="Arial Narrow" w:hAnsi="Arial Narrow"/>
              </w:rPr>
            </w:pPr>
          </w:p>
        </w:tc>
      </w:tr>
      <w:tr w:rsidR="00CD00FD" w:rsidRPr="00835256" w:rsidTr="00B43DEB">
        <w:trPr>
          <w:cantSplit/>
        </w:trPr>
        <w:tc>
          <w:tcPr>
            <w:tcW w:w="284" w:type="dxa"/>
            <w:tcBorders>
              <w:top w:val="nil"/>
              <w:left w:val="nil"/>
              <w:bottom w:val="nil"/>
              <w:right w:val="nil"/>
            </w:tcBorders>
          </w:tcPr>
          <w:p w:rsidR="00CD00FD" w:rsidRPr="00835256" w:rsidRDefault="00CD00FD" w:rsidP="00B43DEB">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CD00FD" w:rsidRPr="00835256" w:rsidRDefault="00CD00FD" w:rsidP="00B43DEB">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CD00FD" w:rsidRPr="00835256" w:rsidRDefault="00CD00FD" w:rsidP="00B43DEB">
            <w:pPr>
              <w:ind w:left="0" w:firstLine="0"/>
              <w:jc w:val="left"/>
              <w:rPr>
                <w:rFonts w:ascii="Arial Narrow" w:hAnsi="Arial Narrow"/>
                <w:sz w:val="20"/>
              </w:rPr>
            </w:pPr>
          </w:p>
        </w:tc>
      </w:tr>
      <w:tr w:rsidR="00CD00FD" w:rsidRPr="00835256" w:rsidTr="00B43DEB">
        <w:trPr>
          <w:cantSplit/>
        </w:trPr>
        <w:tc>
          <w:tcPr>
            <w:tcW w:w="284" w:type="dxa"/>
            <w:tcBorders>
              <w:top w:val="nil"/>
              <w:left w:val="nil"/>
              <w:bottom w:val="nil"/>
              <w:right w:val="nil"/>
            </w:tcBorders>
          </w:tcPr>
          <w:p w:rsidR="00CD00FD" w:rsidRPr="00835256" w:rsidRDefault="00CD00FD" w:rsidP="00CD00FD">
            <w:pPr>
              <w:pStyle w:val="boxstyle"/>
              <w:ind w:left="360"/>
              <w:jc w:val="left"/>
              <w:rPr>
                <w:rFonts w:ascii="Arial Narrow" w:hAnsi="Arial Narrow"/>
              </w:rPr>
            </w:pPr>
          </w:p>
        </w:tc>
        <w:tc>
          <w:tcPr>
            <w:tcW w:w="5670" w:type="dxa"/>
            <w:tcBorders>
              <w:top w:val="nil"/>
              <w:left w:val="nil"/>
              <w:bottom w:val="nil"/>
              <w:right w:val="nil"/>
            </w:tcBorders>
            <w:tcMar>
              <w:right w:w="85" w:type="dxa"/>
            </w:tcMar>
          </w:tcPr>
          <w:p w:rsidR="00CD00FD" w:rsidRPr="00835256" w:rsidRDefault="00CD00FD" w:rsidP="00CD00FD">
            <w:pPr>
              <w:overflowPunct/>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Specifically, where in the </w:t>
            </w:r>
            <w:r w:rsidRPr="00835256">
              <w:rPr>
                <w:rFonts w:ascii="Arial Narrow" w:hAnsi="Arial Narrow"/>
                <w:color w:val="000000"/>
                <w:sz w:val="20"/>
                <w:lang w:val="en-AU"/>
              </w:rPr>
              <w:t xml:space="preserve">Offer Document </w:t>
            </w:r>
            <w:r>
              <w:rPr>
                <w:rFonts w:ascii="Arial Narrow" w:hAnsi="Arial Narrow"/>
                <w:color w:val="000000"/>
                <w:sz w:val="20"/>
                <w:lang w:val="en-AU"/>
              </w:rPr>
              <w:t>does it disclose the material assumptions about the ‘modifying factors’ in the JORC Code?</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CD00FD" w:rsidRPr="00835256" w:rsidRDefault="00CD00FD" w:rsidP="00B43DEB">
            <w:pPr>
              <w:pStyle w:val="boxstyle"/>
              <w:jc w:val="left"/>
              <w:rPr>
                <w:rFonts w:ascii="Arial Narrow" w:hAnsi="Arial Narrow"/>
              </w:rPr>
            </w:pPr>
          </w:p>
        </w:tc>
      </w:tr>
      <w:tr w:rsidR="00CD00FD" w:rsidRPr="00835256" w:rsidTr="00B43DEB">
        <w:trPr>
          <w:cantSplit/>
        </w:trPr>
        <w:tc>
          <w:tcPr>
            <w:tcW w:w="284" w:type="dxa"/>
            <w:tcBorders>
              <w:top w:val="nil"/>
              <w:left w:val="nil"/>
              <w:bottom w:val="nil"/>
              <w:right w:val="nil"/>
            </w:tcBorders>
          </w:tcPr>
          <w:p w:rsidR="00CD00FD" w:rsidRPr="00835256" w:rsidRDefault="00CD00FD" w:rsidP="00B43DEB">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CD00FD" w:rsidRPr="00835256" w:rsidRDefault="00CD00FD" w:rsidP="00B43DEB">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CD00FD" w:rsidRPr="00835256" w:rsidRDefault="00CD00FD" w:rsidP="00B43DEB">
            <w:pPr>
              <w:ind w:left="0" w:firstLine="0"/>
              <w:jc w:val="left"/>
              <w:rPr>
                <w:rFonts w:ascii="Arial Narrow" w:hAnsi="Arial Narrow"/>
                <w:sz w:val="20"/>
              </w:rPr>
            </w:pPr>
          </w:p>
        </w:tc>
      </w:tr>
      <w:tr w:rsidR="00CD00FD" w:rsidRPr="00835256" w:rsidTr="00B43DEB">
        <w:trPr>
          <w:cantSplit/>
        </w:trPr>
        <w:tc>
          <w:tcPr>
            <w:tcW w:w="284" w:type="dxa"/>
            <w:tcBorders>
              <w:top w:val="nil"/>
              <w:left w:val="nil"/>
              <w:bottom w:val="nil"/>
              <w:right w:val="nil"/>
            </w:tcBorders>
          </w:tcPr>
          <w:p w:rsidR="00CD00FD" w:rsidRPr="00835256" w:rsidRDefault="00CD00FD" w:rsidP="00CD00FD">
            <w:pPr>
              <w:pStyle w:val="boxstyle"/>
              <w:ind w:left="360"/>
              <w:jc w:val="left"/>
              <w:rPr>
                <w:rFonts w:ascii="Arial Narrow" w:hAnsi="Arial Narrow"/>
              </w:rPr>
            </w:pPr>
          </w:p>
        </w:tc>
        <w:tc>
          <w:tcPr>
            <w:tcW w:w="5670" w:type="dxa"/>
            <w:tcBorders>
              <w:top w:val="nil"/>
              <w:left w:val="nil"/>
              <w:bottom w:val="nil"/>
              <w:right w:val="nil"/>
            </w:tcBorders>
            <w:tcMar>
              <w:right w:w="85" w:type="dxa"/>
            </w:tcMar>
          </w:tcPr>
          <w:p w:rsidR="00CD00FD" w:rsidRPr="00835256" w:rsidRDefault="00CD00FD" w:rsidP="00CD00FD">
            <w:pPr>
              <w:overflowPunct/>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Specifically, where in the </w:t>
            </w:r>
            <w:r w:rsidRPr="00835256">
              <w:rPr>
                <w:rFonts w:ascii="Arial Narrow" w:hAnsi="Arial Narrow"/>
                <w:color w:val="000000"/>
                <w:sz w:val="20"/>
                <w:lang w:val="en-AU"/>
              </w:rPr>
              <w:t xml:space="preserve">Offer Document </w:t>
            </w:r>
            <w:r>
              <w:rPr>
                <w:rFonts w:ascii="Arial Narrow" w:hAnsi="Arial Narrow"/>
                <w:color w:val="000000"/>
                <w:sz w:val="20"/>
                <w:lang w:val="en-AU"/>
              </w:rPr>
              <w:t>does it disclose the material assumptions about the scheduling of development and production and the availability of project finance?</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CD00FD" w:rsidRPr="00835256" w:rsidRDefault="00CD00FD" w:rsidP="00B43DEB">
            <w:pPr>
              <w:pStyle w:val="boxstyle"/>
              <w:jc w:val="left"/>
              <w:rPr>
                <w:rFonts w:ascii="Arial Narrow" w:hAnsi="Arial Narrow"/>
              </w:rPr>
            </w:pPr>
          </w:p>
        </w:tc>
      </w:tr>
      <w:tr w:rsidR="00786C55" w:rsidRPr="00835256" w:rsidTr="0072155E">
        <w:trPr>
          <w:cantSplit/>
        </w:trPr>
        <w:tc>
          <w:tcPr>
            <w:tcW w:w="284" w:type="dxa"/>
            <w:tcBorders>
              <w:top w:val="nil"/>
              <w:left w:val="nil"/>
              <w:bottom w:val="nil"/>
              <w:right w:val="nil"/>
            </w:tcBorders>
          </w:tcPr>
          <w:p w:rsidR="00786C55" w:rsidRPr="00835256" w:rsidRDefault="00786C55" w:rsidP="00183E8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786C55" w:rsidRPr="00835256" w:rsidRDefault="00786C55" w:rsidP="00183E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786C55" w:rsidRPr="00835256" w:rsidRDefault="00786C55" w:rsidP="00183E81">
            <w:pPr>
              <w:ind w:left="0" w:firstLine="0"/>
              <w:jc w:val="left"/>
              <w:rPr>
                <w:rFonts w:ascii="Arial Narrow" w:hAnsi="Arial Narrow"/>
                <w:sz w:val="20"/>
              </w:rPr>
            </w:pPr>
          </w:p>
        </w:tc>
      </w:tr>
      <w:tr w:rsidR="00786C55" w:rsidRPr="00835256" w:rsidTr="0072155E">
        <w:trPr>
          <w:cantSplit/>
        </w:trPr>
        <w:tc>
          <w:tcPr>
            <w:tcW w:w="284" w:type="dxa"/>
            <w:tcBorders>
              <w:top w:val="nil"/>
              <w:left w:val="nil"/>
              <w:bottom w:val="nil"/>
              <w:right w:val="nil"/>
            </w:tcBorders>
          </w:tcPr>
          <w:p w:rsidR="00786C55" w:rsidRPr="00835256" w:rsidRDefault="00786C55" w:rsidP="00183E8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786C55" w:rsidRPr="00835256" w:rsidRDefault="00786C55"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Where in the Offer Document does it state that the </w:t>
            </w:r>
            <w:r w:rsidR="001E30B3" w:rsidRPr="00835256">
              <w:rPr>
                <w:rFonts w:ascii="Arial Narrow" w:hAnsi="Arial Narrow"/>
                <w:color w:val="000000"/>
                <w:sz w:val="20"/>
                <w:lang w:val="en-AU"/>
              </w:rPr>
              <w:t xml:space="preserve">reserves or resources underpinning the production </w:t>
            </w:r>
            <w:r w:rsidR="006E2841">
              <w:rPr>
                <w:rFonts w:ascii="Arial Narrow" w:hAnsi="Arial Narrow"/>
                <w:color w:val="000000"/>
                <w:sz w:val="20"/>
                <w:lang w:val="en-AU"/>
              </w:rPr>
              <w:t>target have been prepared by a c</w:t>
            </w:r>
            <w:r w:rsidR="001E30B3" w:rsidRPr="00835256">
              <w:rPr>
                <w:rFonts w:ascii="Arial Narrow" w:hAnsi="Arial Narrow"/>
                <w:color w:val="000000"/>
                <w:sz w:val="20"/>
                <w:lang w:val="en-AU"/>
              </w:rPr>
              <w:t xml:space="preserve">ompetent </w:t>
            </w:r>
            <w:r w:rsidR="006E2841">
              <w:rPr>
                <w:rFonts w:ascii="Arial Narrow" w:hAnsi="Arial Narrow"/>
                <w:color w:val="000000"/>
                <w:sz w:val="20"/>
                <w:lang w:val="en-AU"/>
              </w:rPr>
              <w:t>p</w:t>
            </w:r>
            <w:r w:rsidR="001E30B3" w:rsidRPr="00835256">
              <w:rPr>
                <w:rFonts w:ascii="Arial Narrow" w:hAnsi="Arial Narrow"/>
                <w:color w:val="000000"/>
                <w:sz w:val="20"/>
                <w:lang w:val="en-AU"/>
              </w:rPr>
              <w:t>erson in accordance with the JORC Code</w:t>
            </w:r>
            <w:r w:rsidRPr="00835256">
              <w:rPr>
                <w:rFonts w:ascii="Arial Narrow" w:hAnsi="Arial Narrow"/>
                <w:color w:val="000000"/>
                <w:sz w:val="20"/>
                <w:lang w:val="en-AU"/>
              </w:rPr>
              <w:t xml:space="preserve"> (</w:t>
            </w:r>
            <w:r w:rsidR="001E30B3" w:rsidRPr="00835256">
              <w:rPr>
                <w:rFonts w:ascii="Arial Narrow" w:hAnsi="Arial Narrow"/>
                <w:color w:val="000000"/>
                <w:sz w:val="20"/>
                <w:lang w:val="en-AU"/>
              </w:rPr>
              <w:t>Listing Rule 5.16.2</w:t>
            </w:r>
            <w:r w:rsidRPr="00835256">
              <w:rPr>
                <w:rFonts w:ascii="Arial Narrow" w:hAnsi="Arial Narrow"/>
                <w:color w:val="000000"/>
                <w:sz w:val="20"/>
                <w:lang w:val="en-AU"/>
              </w:rPr>
              <w:t>)?</w:t>
            </w:r>
            <w:r w:rsidR="008A292F" w:rsidRPr="00710666">
              <w:rPr>
                <w:rStyle w:val="FootnoteReference"/>
                <w:rFonts w:ascii="Arial Narrow" w:hAnsi="Arial Narrow"/>
                <w:position w:val="0"/>
                <w:sz w:val="20"/>
                <w:vertAlign w:val="superscript"/>
              </w:rPr>
              <w:footnoteReference w:id="13"/>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786C55" w:rsidRPr="00835256" w:rsidRDefault="00786C55" w:rsidP="00183E81">
            <w:pPr>
              <w:pStyle w:val="boxstyle"/>
              <w:jc w:val="left"/>
              <w:rPr>
                <w:rFonts w:ascii="Arial Narrow" w:hAnsi="Arial Narrow"/>
              </w:rPr>
            </w:pPr>
          </w:p>
        </w:tc>
      </w:tr>
      <w:tr w:rsidR="001E30B3" w:rsidRPr="00835256" w:rsidTr="0072155E">
        <w:trPr>
          <w:cantSplit/>
        </w:trPr>
        <w:tc>
          <w:tcPr>
            <w:tcW w:w="284" w:type="dxa"/>
            <w:tcBorders>
              <w:top w:val="nil"/>
              <w:left w:val="nil"/>
              <w:bottom w:val="nil"/>
              <w:right w:val="nil"/>
            </w:tcBorders>
          </w:tcPr>
          <w:p w:rsidR="001E30B3" w:rsidRPr="00835256" w:rsidRDefault="001E30B3" w:rsidP="00183E8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1E30B3" w:rsidRPr="00835256" w:rsidRDefault="001E30B3" w:rsidP="00183E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1E30B3" w:rsidRPr="00835256" w:rsidRDefault="001E30B3" w:rsidP="00183E81">
            <w:pPr>
              <w:ind w:left="0" w:firstLine="0"/>
              <w:jc w:val="left"/>
              <w:rPr>
                <w:rFonts w:ascii="Arial Narrow" w:hAnsi="Arial Narrow"/>
                <w:sz w:val="20"/>
              </w:rPr>
            </w:pPr>
          </w:p>
        </w:tc>
      </w:tr>
      <w:tr w:rsidR="001E30B3" w:rsidRPr="00835256" w:rsidTr="0072155E">
        <w:trPr>
          <w:cantSplit/>
        </w:trPr>
        <w:tc>
          <w:tcPr>
            <w:tcW w:w="284" w:type="dxa"/>
            <w:tcBorders>
              <w:top w:val="nil"/>
              <w:left w:val="nil"/>
              <w:bottom w:val="nil"/>
              <w:right w:val="nil"/>
            </w:tcBorders>
          </w:tcPr>
          <w:p w:rsidR="001E30B3" w:rsidRPr="00835256" w:rsidRDefault="001E30B3" w:rsidP="00183E8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1E30B3" w:rsidRPr="00835256" w:rsidRDefault="001E30B3"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Where in the Offer Document does it state the relevant proportions of </w:t>
            </w:r>
            <w:r w:rsidR="000A65ED" w:rsidRPr="00835256">
              <w:rPr>
                <w:rFonts w:ascii="Arial Narrow" w:hAnsi="Arial Narrow"/>
                <w:color w:val="000000"/>
                <w:sz w:val="20"/>
                <w:lang w:val="en-AU"/>
              </w:rPr>
              <w:t xml:space="preserve">ore </w:t>
            </w:r>
            <w:r w:rsidRPr="00835256">
              <w:rPr>
                <w:rFonts w:ascii="Arial Narrow" w:hAnsi="Arial Narrow"/>
                <w:color w:val="000000"/>
                <w:sz w:val="20"/>
                <w:lang w:val="en-AU"/>
              </w:rPr>
              <w:t xml:space="preserve">reserves, </w:t>
            </w:r>
            <w:r w:rsidR="000A65ED" w:rsidRPr="00835256">
              <w:rPr>
                <w:rFonts w:ascii="Arial Narrow" w:hAnsi="Arial Narrow"/>
                <w:color w:val="000000"/>
                <w:sz w:val="20"/>
                <w:lang w:val="en-AU"/>
              </w:rPr>
              <w:t xml:space="preserve">mineral </w:t>
            </w:r>
            <w:r w:rsidRPr="00835256">
              <w:rPr>
                <w:rFonts w:ascii="Arial Narrow" w:hAnsi="Arial Narrow"/>
                <w:color w:val="000000"/>
                <w:sz w:val="20"/>
                <w:lang w:val="en-AU"/>
              </w:rPr>
              <w:t>resources, exploration target and qualifying foreign estimates underpinning the production target (Listing Rule 5.16.3)?</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1E30B3" w:rsidRPr="00835256" w:rsidRDefault="001E30B3" w:rsidP="00183E81">
            <w:pPr>
              <w:pStyle w:val="boxstyle"/>
              <w:jc w:val="left"/>
              <w:rPr>
                <w:rFonts w:ascii="Arial Narrow" w:hAnsi="Arial Narrow"/>
              </w:rPr>
            </w:pPr>
          </w:p>
        </w:tc>
      </w:tr>
      <w:tr w:rsidR="001E30B3" w:rsidRPr="00835256" w:rsidTr="0072155E">
        <w:trPr>
          <w:cantSplit/>
        </w:trPr>
        <w:tc>
          <w:tcPr>
            <w:tcW w:w="284" w:type="dxa"/>
            <w:tcBorders>
              <w:top w:val="nil"/>
              <w:left w:val="nil"/>
              <w:bottom w:val="nil"/>
              <w:right w:val="nil"/>
            </w:tcBorders>
          </w:tcPr>
          <w:p w:rsidR="001E30B3" w:rsidRPr="00835256" w:rsidRDefault="001E30B3" w:rsidP="00183E8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1E30B3" w:rsidRPr="00835256" w:rsidRDefault="001E30B3" w:rsidP="00183E81">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1E30B3" w:rsidRPr="00835256" w:rsidRDefault="001E30B3" w:rsidP="00183E81">
            <w:pPr>
              <w:ind w:left="0" w:firstLine="0"/>
              <w:jc w:val="left"/>
              <w:rPr>
                <w:rFonts w:ascii="Arial Narrow" w:hAnsi="Arial Narrow"/>
                <w:sz w:val="20"/>
              </w:rPr>
            </w:pPr>
          </w:p>
        </w:tc>
      </w:tr>
      <w:tr w:rsidR="00AE00D7" w:rsidRPr="00835256" w:rsidTr="0072155E">
        <w:trPr>
          <w:cantSplit/>
        </w:trPr>
        <w:tc>
          <w:tcPr>
            <w:tcW w:w="284" w:type="dxa"/>
            <w:tcBorders>
              <w:top w:val="nil"/>
              <w:left w:val="nil"/>
              <w:bottom w:val="nil"/>
              <w:right w:val="nil"/>
            </w:tcBorders>
          </w:tcPr>
          <w:p w:rsidR="00AE00D7" w:rsidRPr="00835256" w:rsidRDefault="00AE00D7" w:rsidP="00AE00D7">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AE00D7" w:rsidRPr="00835256" w:rsidRDefault="00AE00D7" w:rsidP="00AE00D7">
            <w:pPr>
              <w:overflowPunct/>
              <w:spacing w:after="60"/>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Is a proportion of the </w:t>
            </w:r>
            <w:r w:rsidR="000A65ED" w:rsidRPr="00835256">
              <w:rPr>
                <w:rFonts w:ascii="Arial Narrow" w:hAnsi="Arial Narrow"/>
                <w:color w:val="000000"/>
                <w:sz w:val="20"/>
                <w:lang w:val="en-AU"/>
              </w:rPr>
              <w:t>p</w:t>
            </w:r>
            <w:r w:rsidRPr="00835256">
              <w:rPr>
                <w:rFonts w:ascii="Arial Narrow" w:hAnsi="Arial Narrow"/>
                <w:color w:val="000000"/>
                <w:sz w:val="20"/>
                <w:lang w:val="en-AU"/>
              </w:rPr>
              <w:t xml:space="preserve">roduction </w:t>
            </w:r>
            <w:r w:rsidR="000A65ED" w:rsidRPr="00835256">
              <w:rPr>
                <w:rFonts w:ascii="Arial Narrow" w:hAnsi="Arial Narrow"/>
                <w:color w:val="000000"/>
                <w:sz w:val="20"/>
                <w:lang w:val="en-AU"/>
              </w:rPr>
              <w:t>t</w:t>
            </w:r>
            <w:r w:rsidRPr="00835256">
              <w:rPr>
                <w:rFonts w:ascii="Arial Narrow" w:hAnsi="Arial Narrow"/>
                <w:color w:val="000000"/>
                <w:sz w:val="20"/>
                <w:lang w:val="en-AU"/>
              </w:rPr>
              <w:t xml:space="preserve">arget based on an inferred </w:t>
            </w:r>
            <w:r w:rsidR="000A65ED" w:rsidRPr="00835256">
              <w:rPr>
                <w:rFonts w:ascii="Arial Narrow" w:hAnsi="Arial Narrow"/>
                <w:color w:val="000000"/>
                <w:sz w:val="20"/>
                <w:lang w:val="en-AU"/>
              </w:rPr>
              <w:t xml:space="preserve">mineral </w:t>
            </w:r>
            <w:r w:rsidRPr="00835256">
              <w:rPr>
                <w:rFonts w:ascii="Arial Narrow" w:hAnsi="Arial Narrow"/>
                <w:color w:val="000000"/>
                <w:sz w:val="20"/>
                <w:lang w:val="en-AU"/>
              </w:rPr>
              <w:t>resource?</w:t>
            </w:r>
          </w:p>
          <w:p w:rsidR="00AE00D7" w:rsidRPr="00835256" w:rsidRDefault="00AE00D7" w:rsidP="00AE00D7">
            <w:pPr>
              <w:overflowPunct/>
              <w:autoSpaceDE/>
              <w:autoSpaceDN/>
              <w:adjustRightInd/>
              <w:spacing w:after="60"/>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If so, please indicate where in the Offer Document the required cautionary statement has been included stating that:</w:t>
            </w:r>
            <w:r w:rsidR="000A65ED" w:rsidRPr="00710666">
              <w:rPr>
                <w:rStyle w:val="FootnoteReference"/>
                <w:rFonts w:ascii="Arial Narrow" w:hAnsi="Arial Narrow"/>
                <w:position w:val="0"/>
                <w:sz w:val="20"/>
                <w:vertAlign w:val="superscript"/>
              </w:rPr>
              <w:footnoteReference w:id="14"/>
            </w:r>
          </w:p>
          <w:p w:rsidR="00AE00D7" w:rsidRPr="00835256" w:rsidRDefault="00AE00D7"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t>
            </w:r>
            <w:r w:rsidRPr="00835256">
              <w:rPr>
                <w:rFonts w:ascii="Arial Narrow" w:hAnsi="Arial Narrow"/>
                <w:i/>
                <w:color w:val="000000"/>
                <w:sz w:val="20"/>
                <w:lang w:val="en-AU"/>
              </w:rPr>
              <w:t>There is a low level of geological confidence associated with inferred mineral resources and there is no certainty that further exploration work will result in the determination of indicated mineral resources or that the production target itself will be realised</w:t>
            </w:r>
            <w:r w:rsidRPr="00835256">
              <w:rPr>
                <w:rFonts w:ascii="Arial Narrow" w:hAnsi="Arial Narrow"/>
                <w:color w:val="000000"/>
                <w:sz w:val="20"/>
                <w:lang w:val="en-AU"/>
              </w:rPr>
              <w:t>” (Listing Rule 5.16.4)?</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AE00D7" w:rsidRPr="00835256" w:rsidRDefault="00AE00D7" w:rsidP="00183E81">
            <w:pPr>
              <w:pStyle w:val="boxstyle"/>
              <w:jc w:val="left"/>
              <w:rPr>
                <w:rFonts w:ascii="Arial Narrow" w:hAnsi="Arial Narrow"/>
              </w:rPr>
            </w:pPr>
          </w:p>
        </w:tc>
      </w:tr>
      <w:tr w:rsidR="00AE00D7" w:rsidRPr="00835256" w:rsidTr="0072155E">
        <w:trPr>
          <w:cantSplit/>
        </w:trPr>
        <w:tc>
          <w:tcPr>
            <w:tcW w:w="284" w:type="dxa"/>
            <w:tcBorders>
              <w:top w:val="nil"/>
              <w:left w:val="nil"/>
              <w:bottom w:val="nil"/>
              <w:right w:val="nil"/>
            </w:tcBorders>
          </w:tcPr>
          <w:p w:rsidR="00AE00D7" w:rsidRPr="00835256" w:rsidRDefault="00AE00D7" w:rsidP="00183E8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AE00D7" w:rsidRPr="00835256" w:rsidRDefault="00AE00D7" w:rsidP="00183E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AE00D7" w:rsidRPr="00835256" w:rsidRDefault="00AE00D7" w:rsidP="00183E81">
            <w:pPr>
              <w:ind w:left="0" w:firstLine="0"/>
              <w:jc w:val="left"/>
              <w:rPr>
                <w:rFonts w:ascii="Arial Narrow" w:hAnsi="Arial Narrow"/>
                <w:sz w:val="20"/>
              </w:rPr>
            </w:pPr>
          </w:p>
        </w:tc>
      </w:tr>
      <w:tr w:rsidR="001E30B3" w:rsidRPr="00835256" w:rsidTr="0072155E">
        <w:trPr>
          <w:cantSplit/>
        </w:trPr>
        <w:tc>
          <w:tcPr>
            <w:tcW w:w="284" w:type="dxa"/>
            <w:tcBorders>
              <w:top w:val="nil"/>
              <w:left w:val="nil"/>
              <w:bottom w:val="nil"/>
              <w:right w:val="nil"/>
            </w:tcBorders>
          </w:tcPr>
          <w:p w:rsidR="001E30B3" w:rsidRPr="00835256" w:rsidRDefault="001E30B3" w:rsidP="006E2841">
            <w:pPr>
              <w:pStyle w:val="boxstyle"/>
              <w:keepNext/>
              <w:numPr>
                <w:ilvl w:val="0"/>
                <w:numId w:val="15"/>
              </w:numPr>
              <w:ind w:left="0" w:firstLine="0"/>
              <w:jc w:val="left"/>
              <w:rPr>
                <w:rFonts w:ascii="Arial Narrow" w:hAnsi="Arial Narrow"/>
              </w:rPr>
            </w:pPr>
          </w:p>
        </w:tc>
        <w:tc>
          <w:tcPr>
            <w:tcW w:w="5670" w:type="dxa"/>
            <w:tcBorders>
              <w:top w:val="nil"/>
              <w:left w:val="nil"/>
              <w:bottom w:val="nil"/>
            </w:tcBorders>
            <w:tcMar>
              <w:right w:w="85" w:type="dxa"/>
            </w:tcMar>
          </w:tcPr>
          <w:p w:rsidR="001E30B3" w:rsidRPr="00835256" w:rsidRDefault="001E30B3" w:rsidP="006B7202">
            <w:pPr>
              <w:keepNext/>
              <w:overflowPunct/>
              <w:spacing w:after="100"/>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Is a proportion of the </w:t>
            </w:r>
            <w:r w:rsidR="000A65ED" w:rsidRPr="00835256">
              <w:rPr>
                <w:rFonts w:ascii="Arial Narrow" w:hAnsi="Arial Narrow"/>
                <w:color w:val="000000"/>
                <w:sz w:val="20"/>
                <w:lang w:val="en-AU"/>
              </w:rPr>
              <w:t>p</w:t>
            </w:r>
            <w:r w:rsidRPr="00835256">
              <w:rPr>
                <w:rFonts w:ascii="Arial Narrow" w:hAnsi="Arial Narrow"/>
                <w:color w:val="000000"/>
                <w:sz w:val="20"/>
                <w:lang w:val="en-AU"/>
              </w:rPr>
              <w:t xml:space="preserve">roduction </w:t>
            </w:r>
            <w:r w:rsidR="000A65ED" w:rsidRPr="00835256">
              <w:rPr>
                <w:rFonts w:ascii="Arial Narrow" w:hAnsi="Arial Narrow"/>
                <w:color w:val="000000"/>
                <w:sz w:val="20"/>
                <w:lang w:val="en-AU"/>
              </w:rPr>
              <w:t>t</w:t>
            </w:r>
            <w:r w:rsidRPr="00835256">
              <w:rPr>
                <w:rFonts w:ascii="Arial Narrow" w:hAnsi="Arial Narrow"/>
                <w:color w:val="000000"/>
                <w:sz w:val="20"/>
                <w:lang w:val="en-AU"/>
              </w:rPr>
              <w:t xml:space="preserve">arget based on an </w:t>
            </w:r>
            <w:r w:rsidR="000A65ED" w:rsidRPr="00835256">
              <w:rPr>
                <w:rFonts w:ascii="Arial Narrow" w:hAnsi="Arial Narrow"/>
                <w:color w:val="000000"/>
                <w:sz w:val="20"/>
                <w:lang w:val="en-AU"/>
              </w:rPr>
              <w:t>e</w:t>
            </w:r>
            <w:r w:rsidRPr="00835256">
              <w:rPr>
                <w:rFonts w:ascii="Arial Narrow" w:hAnsi="Arial Narrow"/>
                <w:color w:val="000000"/>
                <w:sz w:val="20"/>
                <w:lang w:val="en-AU"/>
              </w:rPr>
              <w:t xml:space="preserve">xploration </w:t>
            </w:r>
            <w:r w:rsidR="000A65ED" w:rsidRPr="00835256">
              <w:rPr>
                <w:rFonts w:ascii="Arial Narrow" w:hAnsi="Arial Narrow"/>
                <w:color w:val="000000"/>
                <w:sz w:val="20"/>
                <w:lang w:val="en-AU"/>
              </w:rPr>
              <w:t>t</w:t>
            </w:r>
            <w:r w:rsidRPr="00835256">
              <w:rPr>
                <w:rFonts w:ascii="Arial Narrow" w:hAnsi="Arial Narrow"/>
                <w:color w:val="000000"/>
                <w:sz w:val="20"/>
                <w:lang w:val="en-AU"/>
              </w:rPr>
              <w:t>arget?</w:t>
            </w:r>
          </w:p>
        </w:tc>
        <w:tc>
          <w:tcPr>
            <w:tcW w:w="3118" w:type="dxa"/>
            <w:tcMar>
              <w:left w:w="85" w:type="dxa"/>
              <w:right w:w="85" w:type="dxa"/>
            </w:tcMar>
          </w:tcPr>
          <w:p w:rsidR="001E30B3" w:rsidRPr="00835256" w:rsidRDefault="001E30B3" w:rsidP="006E2841">
            <w:pPr>
              <w:pStyle w:val="boxstyle"/>
              <w:keepNext/>
              <w:jc w:val="left"/>
              <w:rPr>
                <w:rFonts w:ascii="Arial Narrow" w:hAnsi="Arial Narrow"/>
              </w:rPr>
            </w:pPr>
          </w:p>
        </w:tc>
      </w:tr>
      <w:tr w:rsidR="00AE00D7" w:rsidRPr="00835256" w:rsidTr="0072155E">
        <w:trPr>
          <w:cantSplit/>
        </w:trPr>
        <w:tc>
          <w:tcPr>
            <w:tcW w:w="284" w:type="dxa"/>
            <w:tcBorders>
              <w:top w:val="nil"/>
              <w:left w:val="nil"/>
              <w:bottom w:val="nil"/>
              <w:right w:val="nil"/>
            </w:tcBorders>
          </w:tcPr>
          <w:p w:rsidR="00AE00D7" w:rsidRPr="00835256" w:rsidRDefault="00AE00D7" w:rsidP="00AE00D7">
            <w:pPr>
              <w:pStyle w:val="boxstyle"/>
              <w:ind w:left="360"/>
              <w:jc w:val="left"/>
              <w:rPr>
                <w:rFonts w:ascii="Arial Narrow" w:hAnsi="Arial Narrow"/>
              </w:rPr>
            </w:pPr>
          </w:p>
        </w:tc>
        <w:tc>
          <w:tcPr>
            <w:tcW w:w="5670" w:type="dxa"/>
            <w:tcBorders>
              <w:top w:val="nil"/>
              <w:left w:val="nil"/>
              <w:bottom w:val="nil"/>
              <w:right w:val="nil"/>
            </w:tcBorders>
            <w:tcMar>
              <w:right w:w="85" w:type="dxa"/>
            </w:tcMar>
          </w:tcPr>
          <w:p w:rsidR="00AE00D7" w:rsidRPr="00835256" w:rsidRDefault="00AE00D7"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If so, where in the Offer Document does it include a statement of the factors that lead the </w:t>
            </w:r>
            <w:r w:rsidR="000A65ED" w:rsidRPr="00835256">
              <w:rPr>
                <w:rFonts w:ascii="Arial Narrow" w:hAnsi="Arial Narrow"/>
                <w:color w:val="000000"/>
                <w:sz w:val="20"/>
                <w:lang w:val="en-AU"/>
              </w:rPr>
              <w:t>e</w:t>
            </w:r>
            <w:r w:rsidRPr="00835256">
              <w:rPr>
                <w:rFonts w:ascii="Arial Narrow" w:hAnsi="Arial Narrow"/>
                <w:color w:val="000000"/>
                <w:sz w:val="20"/>
                <w:lang w:val="en-AU"/>
              </w:rPr>
              <w:t xml:space="preserve">ntity to believe that it has a reasonable basis for reporting the </w:t>
            </w:r>
            <w:r w:rsidR="000A65ED" w:rsidRPr="00835256">
              <w:rPr>
                <w:rFonts w:ascii="Arial Narrow" w:hAnsi="Arial Narrow"/>
                <w:color w:val="000000"/>
                <w:sz w:val="20"/>
                <w:lang w:val="en-AU"/>
              </w:rPr>
              <w:t>p</w:t>
            </w:r>
            <w:r w:rsidRPr="00835256">
              <w:rPr>
                <w:rFonts w:ascii="Arial Narrow" w:hAnsi="Arial Narrow"/>
                <w:color w:val="000000"/>
                <w:sz w:val="20"/>
                <w:lang w:val="en-AU"/>
              </w:rPr>
              <w:t xml:space="preserve">roduction </w:t>
            </w:r>
            <w:r w:rsidR="000A65ED" w:rsidRPr="00835256">
              <w:rPr>
                <w:rFonts w:ascii="Arial Narrow" w:hAnsi="Arial Narrow"/>
                <w:color w:val="000000"/>
                <w:sz w:val="20"/>
                <w:lang w:val="en-AU"/>
              </w:rPr>
              <w:t>t</w:t>
            </w:r>
            <w:r w:rsidRPr="00835256">
              <w:rPr>
                <w:rFonts w:ascii="Arial Narrow" w:hAnsi="Arial Narrow"/>
                <w:color w:val="000000"/>
                <w:sz w:val="20"/>
                <w:lang w:val="en-AU"/>
              </w:rPr>
              <w:t>arget in that context (Listing Rule 5.16.5</w:t>
            </w:r>
            <w:r w:rsidR="00C5570F">
              <w:rPr>
                <w:rFonts w:ascii="Arial Narrow" w:hAnsi="Arial Narrow"/>
                <w:color w:val="000000"/>
                <w:sz w:val="20"/>
                <w:lang w:val="en-AU"/>
              </w:rPr>
              <w:t xml:space="preserve"> and section </w:t>
            </w:r>
            <w:r w:rsidR="009D2BF0">
              <w:rPr>
                <w:rFonts w:ascii="Arial Narrow" w:hAnsi="Arial Narrow"/>
                <w:color w:val="000000"/>
                <w:sz w:val="20"/>
                <w:lang w:val="en-AU"/>
              </w:rPr>
              <w:t xml:space="preserve">8 </w:t>
            </w:r>
            <w:r w:rsidR="00A05137">
              <w:rPr>
                <w:rFonts w:ascii="Arial Narrow" w:hAnsi="Arial Narrow"/>
                <w:color w:val="000000"/>
                <w:sz w:val="20"/>
                <w:lang w:val="en-AU"/>
              </w:rPr>
              <w:t xml:space="preserve">of </w:t>
            </w:r>
            <w:r w:rsidR="009D2BF0">
              <w:rPr>
                <w:rFonts w:ascii="Arial Narrow" w:hAnsi="Arial Narrow"/>
                <w:color w:val="000000"/>
                <w:sz w:val="20"/>
                <w:lang w:val="en-AU"/>
              </w:rPr>
              <w:t>Gui</w:t>
            </w:r>
            <w:r w:rsidR="00C5570F">
              <w:rPr>
                <w:rFonts w:ascii="Arial Narrow" w:hAnsi="Arial Narrow"/>
                <w:color w:val="000000"/>
                <w:sz w:val="20"/>
                <w:lang w:val="en-AU"/>
              </w:rPr>
              <w:t>dance Note </w:t>
            </w:r>
            <w:r w:rsidR="009D2BF0">
              <w:rPr>
                <w:rFonts w:ascii="Arial Narrow" w:hAnsi="Arial Narrow"/>
                <w:color w:val="000000"/>
                <w:sz w:val="20"/>
                <w:lang w:val="en-AU"/>
              </w:rPr>
              <w:t xml:space="preserve">31 </w:t>
            </w:r>
            <w:r w:rsidR="009D2BF0" w:rsidRPr="00F4141D">
              <w:rPr>
                <w:rFonts w:ascii="Arial Narrow" w:hAnsi="Arial Narrow"/>
                <w:i/>
                <w:color w:val="000000"/>
                <w:sz w:val="20"/>
                <w:lang w:val="en-AU"/>
              </w:rPr>
              <w:t>Reporting on Mining Activities</w:t>
            </w:r>
            <w:r w:rsidRPr="0083525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AE00D7" w:rsidRPr="00835256" w:rsidRDefault="00AE00D7" w:rsidP="00183E81">
            <w:pPr>
              <w:pStyle w:val="boxstyle"/>
              <w:jc w:val="left"/>
              <w:rPr>
                <w:rFonts w:ascii="Arial Narrow" w:hAnsi="Arial Narrow"/>
              </w:rPr>
            </w:pPr>
          </w:p>
        </w:tc>
      </w:tr>
      <w:tr w:rsidR="00AE00D7" w:rsidRPr="00835256" w:rsidTr="0072155E">
        <w:trPr>
          <w:cantSplit/>
        </w:trPr>
        <w:tc>
          <w:tcPr>
            <w:tcW w:w="284" w:type="dxa"/>
            <w:tcBorders>
              <w:top w:val="nil"/>
              <w:left w:val="nil"/>
              <w:bottom w:val="nil"/>
              <w:right w:val="nil"/>
            </w:tcBorders>
          </w:tcPr>
          <w:p w:rsidR="00AE00D7" w:rsidRPr="00835256" w:rsidRDefault="00AE00D7" w:rsidP="00183E8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AE00D7" w:rsidRPr="00835256" w:rsidRDefault="00AE00D7" w:rsidP="00183E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AE00D7" w:rsidRPr="00835256" w:rsidRDefault="00AE00D7" w:rsidP="00183E81">
            <w:pPr>
              <w:ind w:left="0" w:firstLine="0"/>
              <w:jc w:val="left"/>
              <w:rPr>
                <w:rFonts w:ascii="Arial Narrow" w:hAnsi="Arial Narrow"/>
                <w:sz w:val="20"/>
              </w:rPr>
            </w:pPr>
          </w:p>
        </w:tc>
      </w:tr>
      <w:tr w:rsidR="00AE00D7" w:rsidRPr="00835256" w:rsidTr="0072155E">
        <w:trPr>
          <w:cantSplit/>
        </w:trPr>
        <w:tc>
          <w:tcPr>
            <w:tcW w:w="284" w:type="dxa"/>
            <w:tcBorders>
              <w:top w:val="nil"/>
              <w:left w:val="nil"/>
              <w:bottom w:val="nil"/>
              <w:right w:val="nil"/>
            </w:tcBorders>
          </w:tcPr>
          <w:p w:rsidR="00AE00D7" w:rsidRPr="00835256" w:rsidRDefault="00AE00D7" w:rsidP="00183E81">
            <w:pPr>
              <w:pStyle w:val="boxstyle"/>
              <w:ind w:left="360"/>
              <w:jc w:val="left"/>
              <w:rPr>
                <w:rFonts w:ascii="Arial Narrow" w:hAnsi="Arial Narrow"/>
              </w:rPr>
            </w:pPr>
          </w:p>
        </w:tc>
        <w:tc>
          <w:tcPr>
            <w:tcW w:w="5670" w:type="dxa"/>
            <w:tcBorders>
              <w:top w:val="nil"/>
              <w:left w:val="nil"/>
              <w:bottom w:val="nil"/>
              <w:right w:val="nil"/>
            </w:tcBorders>
            <w:tcMar>
              <w:right w:w="85" w:type="dxa"/>
            </w:tcMar>
          </w:tcPr>
          <w:p w:rsidR="00AE00D7" w:rsidRPr="00835256" w:rsidRDefault="00AE00D7" w:rsidP="00AE00D7">
            <w:pPr>
              <w:overflowPunct/>
              <w:autoSpaceDE/>
              <w:autoSpaceDN/>
              <w:adjustRightInd/>
              <w:spacing w:after="60"/>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Please also indicate where in the Offer Document the required cautionary statement </w:t>
            </w:r>
            <w:r w:rsidR="000A65ED" w:rsidRPr="00835256">
              <w:rPr>
                <w:rFonts w:ascii="Arial Narrow" w:hAnsi="Arial Narrow"/>
                <w:color w:val="000000"/>
                <w:sz w:val="20"/>
                <w:lang w:val="en-AU"/>
              </w:rPr>
              <w:t>has been included stating that:</w:t>
            </w:r>
            <w:r w:rsidR="000A65ED" w:rsidRPr="00710666">
              <w:rPr>
                <w:rStyle w:val="FootnoteReference"/>
                <w:rFonts w:ascii="Arial Narrow" w:hAnsi="Arial Narrow"/>
                <w:position w:val="0"/>
                <w:sz w:val="20"/>
                <w:vertAlign w:val="superscript"/>
              </w:rPr>
              <w:footnoteReference w:id="15"/>
            </w:r>
          </w:p>
          <w:p w:rsidR="00AE00D7" w:rsidRPr="00835256" w:rsidRDefault="00AE00D7" w:rsidP="00C5570F">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t>
            </w:r>
            <w:r w:rsidRPr="00835256">
              <w:rPr>
                <w:rFonts w:ascii="Arial Narrow" w:hAnsi="Arial Narrow"/>
                <w:i/>
                <w:color w:val="000000"/>
                <w:sz w:val="20"/>
                <w:lang w:val="en-AU"/>
              </w:rPr>
              <w:t>The potential quantity and grade of an exploration target is conceptual in nature, there has been insufficient exploration to determine a mineral resource and there is no certainty that further exploration work will result in the determination of mineral resources or that the production target itself will be realised.</w:t>
            </w:r>
            <w:r w:rsidRPr="00835256">
              <w:rPr>
                <w:rFonts w:ascii="Arial Narrow" w:hAnsi="Arial Narrow"/>
                <w:color w:val="000000"/>
                <w:sz w:val="20"/>
                <w:lang w:val="en-AU"/>
              </w:rPr>
              <w:t>” (Listing Rule 5.16.5</w:t>
            </w:r>
            <w:r w:rsidR="009D2BF0">
              <w:rPr>
                <w:rFonts w:ascii="Arial Narrow" w:hAnsi="Arial Narrow"/>
                <w:color w:val="000000"/>
                <w:sz w:val="20"/>
                <w:lang w:val="en-AU"/>
              </w:rPr>
              <w:t xml:space="preserve"> and section</w:t>
            </w:r>
            <w:r w:rsidR="00C5570F">
              <w:rPr>
                <w:rFonts w:ascii="Arial Narrow" w:hAnsi="Arial Narrow"/>
                <w:color w:val="000000"/>
                <w:sz w:val="20"/>
                <w:lang w:val="en-AU"/>
              </w:rPr>
              <w:t> </w:t>
            </w:r>
            <w:r w:rsidR="009D2BF0">
              <w:rPr>
                <w:rFonts w:ascii="Arial Narrow" w:hAnsi="Arial Narrow"/>
                <w:color w:val="000000"/>
                <w:sz w:val="20"/>
                <w:lang w:val="en-AU"/>
              </w:rPr>
              <w:t xml:space="preserve">8 </w:t>
            </w:r>
            <w:r w:rsidR="00A05137">
              <w:rPr>
                <w:rFonts w:ascii="Arial Narrow" w:hAnsi="Arial Narrow"/>
                <w:color w:val="000000"/>
                <w:sz w:val="20"/>
                <w:lang w:val="en-AU"/>
              </w:rPr>
              <w:t xml:space="preserve">of </w:t>
            </w:r>
            <w:r w:rsidR="00C5570F">
              <w:rPr>
                <w:rFonts w:ascii="Arial Narrow" w:hAnsi="Arial Narrow"/>
                <w:color w:val="000000"/>
                <w:sz w:val="20"/>
                <w:lang w:val="en-AU"/>
              </w:rPr>
              <w:t>Guidance Note </w:t>
            </w:r>
            <w:r w:rsidR="009D2BF0">
              <w:rPr>
                <w:rFonts w:ascii="Arial Narrow" w:hAnsi="Arial Narrow"/>
                <w:color w:val="000000"/>
                <w:sz w:val="20"/>
                <w:lang w:val="en-AU"/>
              </w:rPr>
              <w:t xml:space="preserve">31 </w:t>
            </w:r>
            <w:r w:rsidR="009D2BF0" w:rsidRPr="00F4141D">
              <w:rPr>
                <w:rFonts w:ascii="Arial Narrow" w:hAnsi="Arial Narrow"/>
                <w:i/>
                <w:color w:val="000000"/>
                <w:sz w:val="20"/>
                <w:lang w:val="en-AU"/>
              </w:rPr>
              <w:t>Reporting on Mining Activities</w:t>
            </w:r>
            <w:r w:rsidRPr="0083525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AE00D7" w:rsidRPr="00835256" w:rsidRDefault="00AE00D7" w:rsidP="00183E81">
            <w:pPr>
              <w:pStyle w:val="boxstyle"/>
              <w:jc w:val="left"/>
              <w:rPr>
                <w:rFonts w:ascii="Arial Narrow" w:hAnsi="Arial Narrow"/>
              </w:rPr>
            </w:pPr>
          </w:p>
        </w:tc>
      </w:tr>
      <w:tr w:rsidR="00AE00D7" w:rsidRPr="00835256" w:rsidTr="0072155E">
        <w:trPr>
          <w:cantSplit/>
        </w:trPr>
        <w:tc>
          <w:tcPr>
            <w:tcW w:w="284" w:type="dxa"/>
            <w:tcBorders>
              <w:top w:val="nil"/>
              <w:left w:val="nil"/>
              <w:bottom w:val="nil"/>
              <w:right w:val="nil"/>
            </w:tcBorders>
          </w:tcPr>
          <w:p w:rsidR="00AE00D7" w:rsidRPr="00835256" w:rsidRDefault="00AE00D7" w:rsidP="00183E8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AE00D7" w:rsidRPr="00835256" w:rsidRDefault="00AE00D7" w:rsidP="00183E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AE00D7" w:rsidRPr="00835256" w:rsidRDefault="00AE00D7" w:rsidP="00183E81">
            <w:pPr>
              <w:ind w:left="0" w:firstLine="0"/>
              <w:jc w:val="left"/>
              <w:rPr>
                <w:rFonts w:ascii="Arial Narrow" w:hAnsi="Arial Narrow"/>
                <w:sz w:val="20"/>
              </w:rPr>
            </w:pPr>
          </w:p>
        </w:tc>
      </w:tr>
      <w:tr w:rsidR="000A65ED" w:rsidRPr="00835256" w:rsidTr="0072155E">
        <w:trPr>
          <w:cantSplit/>
        </w:trPr>
        <w:tc>
          <w:tcPr>
            <w:tcW w:w="284" w:type="dxa"/>
            <w:tcBorders>
              <w:top w:val="nil"/>
              <w:left w:val="nil"/>
              <w:bottom w:val="nil"/>
              <w:right w:val="nil"/>
            </w:tcBorders>
          </w:tcPr>
          <w:p w:rsidR="000A65ED" w:rsidRPr="00835256" w:rsidRDefault="000A65ED" w:rsidP="006E2841">
            <w:pPr>
              <w:pStyle w:val="boxstyle"/>
              <w:keepNext/>
              <w:numPr>
                <w:ilvl w:val="0"/>
                <w:numId w:val="15"/>
              </w:numPr>
              <w:ind w:left="0" w:firstLine="0"/>
              <w:jc w:val="left"/>
              <w:rPr>
                <w:rFonts w:ascii="Arial Narrow" w:hAnsi="Arial Narrow"/>
              </w:rPr>
            </w:pPr>
          </w:p>
        </w:tc>
        <w:tc>
          <w:tcPr>
            <w:tcW w:w="5670" w:type="dxa"/>
            <w:tcBorders>
              <w:top w:val="nil"/>
              <w:left w:val="nil"/>
              <w:bottom w:val="nil"/>
            </w:tcBorders>
            <w:tcMar>
              <w:right w:w="85" w:type="dxa"/>
            </w:tcMar>
          </w:tcPr>
          <w:p w:rsidR="000A65ED" w:rsidRPr="00835256" w:rsidRDefault="000A65ED" w:rsidP="006B7202">
            <w:pPr>
              <w:keepNext/>
              <w:overflowPunct/>
              <w:spacing w:after="100"/>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Is the Production Target based solely on an inferred mineral resource?</w:t>
            </w:r>
          </w:p>
        </w:tc>
        <w:tc>
          <w:tcPr>
            <w:tcW w:w="3118" w:type="dxa"/>
            <w:tcMar>
              <w:left w:w="85" w:type="dxa"/>
              <w:right w:w="85" w:type="dxa"/>
            </w:tcMar>
          </w:tcPr>
          <w:p w:rsidR="000A65ED" w:rsidRPr="00835256" w:rsidRDefault="000A65ED" w:rsidP="006E2841">
            <w:pPr>
              <w:pStyle w:val="boxstyle"/>
              <w:keepNext/>
              <w:jc w:val="left"/>
              <w:rPr>
                <w:rFonts w:ascii="Arial Narrow" w:hAnsi="Arial Narrow"/>
              </w:rPr>
            </w:pPr>
          </w:p>
        </w:tc>
      </w:tr>
      <w:tr w:rsidR="000A65ED" w:rsidRPr="00835256" w:rsidTr="0072155E">
        <w:trPr>
          <w:cantSplit/>
        </w:trPr>
        <w:tc>
          <w:tcPr>
            <w:tcW w:w="284" w:type="dxa"/>
            <w:tcBorders>
              <w:top w:val="nil"/>
              <w:left w:val="nil"/>
              <w:bottom w:val="nil"/>
              <w:right w:val="nil"/>
            </w:tcBorders>
          </w:tcPr>
          <w:p w:rsidR="000A65ED" w:rsidRPr="00835256" w:rsidRDefault="000A65ED" w:rsidP="00183E81">
            <w:pPr>
              <w:pStyle w:val="boxstyle"/>
              <w:ind w:left="360"/>
              <w:jc w:val="left"/>
              <w:rPr>
                <w:rFonts w:ascii="Arial Narrow" w:hAnsi="Arial Narrow"/>
              </w:rPr>
            </w:pPr>
          </w:p>
        </w:tc>
        <w:tc>
          <w:tcPr>
            <w:tcW w:w="5670" w:type="dxa"/>
            <w:tcBorders>
              <w:top w:val="nil"/>
              <w:left w:val="nil"/>
              <w:bottom w:val="nil"/>
              <w:right w:val="nil"/>
            </w:tcBorders>
            <w:tcMar>
              <w:right w:w="85" w:type="dxa"/>
            </w:tcMar>
          </w:tcPr>
          <w:p w:rsidR="000A65ED" w:rsidRPr="00835256" w:rsidRDefault="000A65ED"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If so, where in the Offer Document does it include a statement of the factors that lead the entity to believe that it has a reasonable basis for reporting the production target based solely on inferred mineral resources (Listing Rule 5.16.6</w:t>
            </w:r>
            <w:r w:rsidR="00C5570F">
              <w:rPr>
                <w:rFonts w:ascii="Arial Narrow" w:hAnsi="Arial Narrow"/>
                <w:color w:val="000000"/>
                <w:sz w:val="20"/>
                <w:lang w:val="en-AU"/>
              </w:rPr>
              <w:t xml:space="preserve"> and section </w:t>
            </w:r>
            <w:r w:rsidR="009D2BF0">
              <w:rPr>
                <w:rFonts w:ascii="Arial Narrow" w:hAnsi="Arial Narrow"/>
                <w:color w:val="000000"/>
                <w:sz w:val="20"/>
                <w:lang w:val="en-AU"/>
              </w:rPr>
              <w:t>8</w:t>
            </w:r>
            <w:r w:rsidR="001D2A7E">
              <w:rPr>
                <w:rFonts w:ascii="Arial Narrow" w:hAnsi="Arial Narrow"/>
                <w:color w:val="000000"/>
                <w:sz w:val="20"/>
                <w:lang w:val="en-AU"/>
              </w:rPr>
              <w:t>.7</w:t>
            </w:r>
            <w:r w:rsidR="009D2BF0">
              <w:rPr>
                <w:rFonts w:ascii="Arial Narrow" w:hAnsi="Arial Narrow"/>
                <w:color w:val="000000"/>
                <w:sz w:val="20"/>
                <w:lang w:val="en-AU"/>
              </w:rPr>
              <w:t xml:space="preserve"> </w:t>
            </w:r>
            <w:r w:rsidR="00A05137">
              <w:rPr>
                <w:rFonts w:ascii="Arial Narrow" w:hAnsi="Arial Narrow"/>
                <w:color w:val="000000"/>
                <w:sz w:val="20"/>
                <w:lang w:val="en-AU"/>
              </w:rPr>
              <w:t xml:space="preserve">of </w:t>
            </w:r>
            <w:r w:rsidR="00C5570F">
              <w:rPr>
                <w:rFonts w:ascii="Arial Narrow" w:hAnsi="Arial Narrow"/>
                <w:color w:val="000000"/>
                <w:sz w:val="20"/>
                <w:lang w:val="en-AU"/>
              </w:rPr>
              <w:t>Guidance Note </w:t>
            </w:r>
            <w:r w:rsidR="009D2BF0">
              <w:rPr>
                <w:rFonts w:ascii="Arial Narrow" w:hAnsi="Arial Narrow"/>
                <w:color w:val="000000"/>
                <w:sz w:val="20"/>
                <w:lang w:val="en-AU"/>
              </w:rPr>
              <w:t xml:space="preserve">31 </w:t>
            </w:r>
            <w:r w:rsidR="009D2BF0" w:rsidRPr="00F4141D">
              <w:rPr>
                <w:rFonts w:ascii="Arial Narrow" w:hAnsi="Arial Narrow"/>
                <w:i/>
                <w:color w:val="000000"/>
                <w:sz w:val="20"/>
                <w:lang w:val="en-AU"/>
              </w:rPr>
              <w:t>Reporting on Mining Activities</w:t>
            </w:r>
            <w:r w:rsidRPr="0083525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A65ED" w:rsidRPr="00835256" w:rsidRDefault="000A65ED" w:rsidP="00183E81">
            <w:pPr>
              <w:pStyle w:val="boxstyle"/>
              <w:jc w:val="left"/>
              <w:rPr>
                <w:rFonts w:ascii="Arial Narrow" w:hAnsi="Arial Narrow"/>
              </w:rPr>
            </w:pPr>
          </w:p>
        </w:tc>
      </w:tr>
      <w:tr w:rsidR="000A65ED" w:rsidRPr="00835256" w:rsidTr="0072155E">
        <w:trPr>
          <w:cantSplit/>
        </w:trPr>
        <w:tc>
          <w:tcPr>
            <w:tcW w:w="284" w:type="dxa"/>
            <w:tcBorders>
              <w:top w:val="nil"/>
              <w:left w:val="nil"/>
              <w:bottom w:val="nil"/>
              <w:right w:val="nil"/>
            </w:tcBorders>
          </w:tcPr>
          <w:p w:rsidR="000A65ED" w:rsidRPr="00835256" w:rsidRDefault="000A65ED" w:rsidP="00183E8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0A65ED" w:rsidRPr="00835256" w:rsidRDefault="000A65ED" w:rsidP="00183E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0A65ED" w:rsidRPr="00835256" w:rsidRDefault="000A65ED" w:rsidP="00183E81">
            <w:pPr>
              <w:ind w:left="0" w:firstLine="0"/>
              <w:jc w:val="left"/>
              <w:rPr>
                <w:rFonts w:ascii="Arial Narrow" w:hAnsi="Arial Narrow"/>
                <w:sz w:val="20"/>
              </w:rPr>
            </w:pPr>
          </w:p>
        </w:tc>
      </w:tr>
      <w:tr w:rsidR="000A65ED" w:rsidRPr="00835256" w:rsidTr="0072155E">
        <w:trPr>
          <w:cantSplit/>
        </w:trPr>
        <w:tc>
          <w:tcPr>
            <w:tcW w:w="284" w:type="dxa"/>
            <w:tcBorders>
              <w:top w:val="nil"/>
              <w:left w:val="nil"/>
              <w:bottom w:val="nil"/>
              <w:right w:val="nil"/>
            </w:tcBorders>
          </w:tcPr>
          <w:p w:rsidR="000A65ED" w:rsidRPr="00835256" w:rsidRDefault="000A65ED" w:rsidP="00183E81">
            <w:pPr>
              <w:pStyle w:val="boxstyle"/>
              <w:ind w:left="360"/>
              <w:jc w:val="left"/>
              <w:rPr>
                <w:rFonts w:ascii="Arial Narrow" w:hAnsi="Arial Narrow"/>
              </w:rPr>
            </w:pPr>
          </w:p>
        </w:tc>
        <w:tc>
          <w:tcPr>
            <w:tcW w:w="5670" w:type="dxa"/>
            <w:tcBorders>
              <w:top w:val="nil"/>
              <w:left w:val="nil"/>
              <w:bottom w:val="nil"/>
              <w:right w:val="nil"/>
            </w:tcBorders>
            <w:tcMar>
              <w:right w:w="85" w:type="dxa"/>
            </w:tcMar>
          </w:tcPr>
          <w:p w:rsidR="000A65ED" w:rsidRPr="00835256" w:rsidRDefault="0075078F"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Please indicate </w:t>
            </w:r>
            <w:r w:rsidR="000A65ED" w:rsidRPr="00835256">
              <w:rPr>
                <w:rFonts w:ascii="Arial Narrow" w:hAnsi="Arial Narrow"/>
                <w:color w:val="000000"/>
                <w:sz w:val="20"/>
                <w:lang w:val="en-AU"/>
              </w:rPr>
              <w:t>where in the Offer Document it state</w:t>
            </w:r>
            <w:r w:rsidRPr="00835256">
              <w:rPr>
                <w:rFonts w:ascii="Arial Narrow" w:hAnsi="Arial Narrow"/>
                <w:color w:val="000000"/>
                <w:sz w:val="20"/>
                <w:lang w:val="en-AU"/>
              </w:rPr>
              <w:t>s</w:t>
            </w:r>
            <w:r w:rsidR="000A65ED" w:rsidRPr="00835256">
              <w:rPr>
                <w:rFonts w:ascii="Arial Narrow" w:hAnsi="Arial Narrow"/>
                <w:color w:val="000000"/>
                <w:sz w:val="20"/>
                <w:lang w:val="en-AU"/>
              </w:rPr>
              <w:t xml:space="preserve"> the level of confidence with which the inferred mineral resources are estimated and the basis for that level of confidence (Listing Rule 5.16.6)</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A65ED" w:rsidRPr="00835256" w:rsidRDefault="000A65ED" w:rsidP="00183E81">
            <w:pPr>
              <w:pStyle w:val="boxstyle"/>
              <w:jc w:val="left"/>
              <w:rPr>
                <w:rFonts w:ascii="Arial Narrow" w:hAnsi="Arial Narrow"/>
              </w:rPr>
            </w:pPr>
          </w:p>
        </w:tc>
      </w:tr>
      <w:tr w:rsidR="000A65ED" w:rsidRPr="00835256" w:rsidTr="0072155E">
        <w:trPr>
          <w:cantSplit/>
        </w:trPr>
        <w:tc>
          <w:tcPr>
            <w:tcW w:w="284" w:type="dxa"/>
            <w:tcBorders>
              <w:top w:val="nil"/>
              <w:left w:val="nil"/>
              <w:bottom w:val="nil"/>
              <w:right w:val="nil"/>
            </w:tcBorders>
          </w:tcPr>
          <w:p w:rsidR="000A65ED" w:rsidRPr="00835256" w:rsidRDefault="000A65ED" w:rsidP="00183E8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0A65ED" w:rsidRPr="00835256" w:rsidRDefault="000A65ED" w:rsidP="00183E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0A65ED" w:rsidRPr="00835256" w:rsidRDefault="000A65ED" w:rsidP="00183E81">
            <w:pPr>
              <w:ind w:left="0" w:firstLine="0"/>
              <w:jc w:val="left"/>
              <w:rPr>
                <w:rFonts w:ascii="Arial Narrow" w:hAnsi="Arial Narrow"/>
                <w:sz w:val="20"/>
              </w:rPr>
            </w:pPr>
          </w:p>
        </w:tc>
      </w:tr>
      <w:tr w:rsidR="000A65ED" w:rsidRPr="00835256" w:rsidTr="0072155E">
        <w:trPr>
          <w:cantSplit/>
        </w:trPr>
        <w:tc>
          <w:tcPr>
            <w:tcW w:w="284" w:type="dxa"/>
            <w:tcBorders>
              <w:top w:val="nil"/>
              <w:left w:val="nil"/>
              <w:bottom w:val="nil"/>
              <w:right w:val="nil"/>
            </w:tcBorders>
          </w:tcPr>
          <w:p w:rsidR="000A65ED" w:rsidRPr="00835256" w:rsidRDefault="000A65ED" w:rsidP="00183E81">
            <w:pPr>
              <w:pStyle w:val="boxstyle"/>
              <w:ind w:left="360"/>
              <w:jc w:val="left"/>
              <w:rPr>
                <w:rFonts w:ascii="Arial Narrow" w:hAnsi="Arial Narrow"/>
              </w:rPr>
            </w:pPr>
          </w:p>
        </w:tc>
        <w:tc>
          <w:tcPr>
            <w:tcW w:w="5670" w:type="dxa"/>
            <w:tcBorders>
              <w:top w:val="nil"/>
              <w:left w:val="nil"/>
              <w:bottom w:val="nil"/>
              <w:right w:val="nil"/>
            </w:tcBorders>
            <w:tcMar>
              <w:right w:w="85" w:type="dxa"/>
            </w:tcMar>
          </w:tcPr>
          <w:p w:rsidR="000A65ED" w:rsidRPr="00835256" w:rsidRDefault="000A65ED" w:rsidP="00183E81">
            <w:pPr>
              <w:overflowPunct/>
              <w:autoSpaceDE/>
              <w:autoSpaceDN/>
              <w:adjustRightInd/>
              <w:spacing w:after="60"/>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Please also indicate where in the Offer Document the required cautionary statement has been included stating that:</w:t>
            </w:r>
            <w:r w:rsidRPr="00710666">
              <w:rPr>
                <w:rStyle w:val="FootnoteReference"/>
                <w:rFonts w:ascii="Arial Narrow" w:hAnsi="Arial Narrow"/>
                <w:position w:val="0"/>
                <w:sz w:val="20"/>
                <w:vertAlign w:val="superscript"/>
              </w:rPr>
              <w:footnoteReference w:id="16"/>
            </w:r>
          </w:p>
          <w:p w:rsidR="000A65ED" w:rsidRPr="00835256" w:rsidRDefault="000A65ED"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t>
            </w:r>
            <w:r w:rsidRPr="00835256">
              <w:rPr>
                <w:rFonts w:ascii="Arial Narrow" w:hAnsi="Arial Narrow"/>
                <w:i/>
                <w:color w:val="000000"/>
                <w:sz w:val="20"/>
                <w:lang w:val="en-AU"/>
              </w:rPr>
              <w:t>There is a low level of geological confidence associated with inferred mineral resources and there is no certainty that further exploration work will result in the determination of indicated mineral resources or that the production target itself will be realised. The stated production target is based on the company’s current expectations of future results or events and should not be solely relied upon by investors when making investment decisions. Further evaluation work and appropriate studies are required to establish sufficient confidence that this target will be met.</w:t>
            </w:r>
            <w:r w:rsidRPr="00835256">
              <w:rPr>
                <w:rFonts w:ascii="Arial Narrow" w:hAnsi="Arial Narrow"/>
                <w:color w:val="000000"/>
                <w:sz w:val="20"/>
                <w:lang w:val="en-AU"/>
              </w:rPr>
              <w:t>” (Listing Rule 5.16.6)</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A65ED" w:rsidRPr="00835256" w:rsidRDefault="000A65ED" w:rsidP="00183E81">
            <w:pPr>
              <w:pStyle w:val="boxstyle"/>
              <w:jc w:val="left"/>
              <w:rPr>
                <w:rFonts w:ascii="Arial Narrow" w:hAnsi="Arial Narrow"/>
              </w:rPr>
            </w:pPr>
          </w:p>
        </w:tc>
      </w:tr>
      <w:tr w:rsidR="000A65ED" w:rsidRPr="00835256" w:rsidTr="0072155E">
        <w:trPr>
          <w:cantSplit/>
        </w:trPr>
        <w:tc>
          <w:tcPr>
            <w:tcW w:w="284" w:type="dxa"/>
            <w:tcBorders>
              <w:top w:val="nil"/>
              <w:left w:val="nil"/>
              <w:bottom w:val="nil"/>
              <w:right w:val="nil"/>
            </w:tcBorders>
          </w:tcPr>
          <w:p w:rsidR="000A65ED" w:rsidRPr="00835256" w:rsidRDefault="000A65ED" w:rsidP="00183E8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0A65ED" w:rsidRPr="00835256" w:rsidRDefault="000A65ED" w:rsidP="00183E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0A65ED" w:rsidRPr="00835256" w:rsidRDefault="000A65ED" w:rsidP="00183E81">
            <w:pPr>
              <w:ind w:left="0" w:firstLine="0"/>
              <w:jc w:val="left"/>
              <w:rPr>
                <w:rFonts w:ascii="Arial Narrow" w:hAnsi="Arial Narrow"/>
                <w:sz w:val="20"/>
              </w:rPr>
            </w:pPr>
          </w:p>
        </w:tc>
      </w:tr>
      <w:tr w:rsidR="0075078F" w:rsidRPr="00835256" w:rsidTr="0072155E">
        <w:trPr>
          <w:cantSplit/>
        </w:trPr>
        <w:tc>
          <w:tcPr>
            <w:tcW w:w="284" w:type="dxa"/>
            <w:tcBorders>
              <w:top w:val="nil"/>
              <w:left w:val="nil"/>
              <w:bottom w:val="nil"/>
              <w:right w:val="nil"/>
            </w:tcBorders>
          </w:tcPr>
          <w:p w:rsidR="0075078F" w:rsidRPr="00835256" w:rsidRDefault="0075078F" w:rsidP="00183E81">
            <w:pPr>
              <w:pStyle w:val="boxstyle"/>
              <w:ind w:left="360"/>
              <w:jc w:val="left"/>
              <w:rPr>
                <w:rFonts w:ascii="Arial Narrow" w:hAnsi="Arial Narrow"/>
              </w:rPr>
            </w:pPr>
          </w:p>
        </w:tc>
        <w:tc>
          <w:tcPr>
            <w:tcW w:w="5670" w:type="dxa"/>
            <w:tcBorders>
              <w:top w:val="nil"/>
              <w:left w:val="nil"/>
              <w:bottom w:val="nil"/>
              <w:right w:val="nil"/>
            </w:tcBorders>
            <w:tcMar>
              <w:right w:w="85" w:type="dxa"/>
            </w:tcMar>
          </w:tcPr>
          <w:p w:rsidR="0075078F" w:rsidRPr="00835256" w:rsidRDefault="0075078F" w:rsidP="00982CE2">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And provide a copy of the technical report required under Listing Rule 5.16.6 to support the production target </w:t>
            </w:r>
            <w:r w:rsidR="00982CE2" w:rsidRPr="00835256">
              <w:rPr>
                <w:rFonts w:ascii="Arial Narrow" w:hAnsi="Arial Narrow"/>
                <w:color w:val="000000"/>
                <w:sz w:val="20"/>
                <w:lang w:val="en-AU"/>
              </w:rPr>
              <w:t xml:space="preserve">with a sufficient level of confidence </w:t>
            </w:r>
            <w:r w:rsidRPr="00835256">
              <w:rPr>
                <w:rFonts w:ascii="Arial Narrow" w:hAnsi="Arial Narrow"/>
                <w:color w:val="000000"/>
                <w:sz w:val="20"/>
                <w:lang w:val="en-AU"/>
              </w:rPr>
              <w:t>and which has been prepared by, or under the supervision of, a named independent competent person or persons and includes the information referred to in Listing Rules 5.22(b) and (c)</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75078F" w:rsidRPr="00835256" w:rsidRDefault="0075078F" w:rsidP="00183E81">
            <w:pPr>
              <w:pStyle w:val="boxstyle"/>
              <w:jc w:val="left"/>
              <w:rPr>
                <w:rFonts w:ascii="Arial Narrow" w:hAnsi="Arial Narrow"/>
              </w:rPr>
            </w:pPr>
          </w:p>
        </w:tc>
      </w:tr>
      <w:tr w:rsidR="001D2A7E" w:rsidRPr="00835256" w:rsidTr="00B43DEB">
        <w:trPr>
          <w:cantSplit/>
        </w:trPr>
        <w:tc>
          <w:tcPr>
            <w:tcW w:w="284" w:type="dxa"/>
            <w:tcBorders>
              <w:top w:val="nil"/>
              <w:left w:val="nil"/>
              <w:bottom w:val="nil"/>
              <w:right w:val="nil"/>
            </w:tcBorders>
          </w:tcPr>
          <w:p w:rsidR="001D2A7E" w:rsidRPr="00835256" w:rsidRDefault="001D2A7E" w:rsidP="00B43DEB">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1D2A7E" w:rsidRPr="00835256" w:rsidRDefault="001D2A7E" w:rsidP="00B43DEB">
            <w:pPr>
              <w:ind w:left="0" w:firstLine="0"/>
              <w:jc w:val="left"/>
              <w:rPr>
                <w:rFonts w:ascii="Arial Narrow" w:hAnsi="Arial Narrow"/>
                <w:sz w:val="20"/>
              </w:rPr>
            </w:pPr>
          </w:p>
        </w:tc>
        <w:tc>
          <w:tcPr>
            <w:tcW w:w="3118" w:type="dxa"/>
            <w:tcBorders>
              <w:top w:val="single" w:sz="6" w:space="0" w:color="auto"/>
              <w:left w:val="nil"/>
              <w:right w:val="nil"/>
            </w:tcBorders>
            <w:tcMar>
              <w:left w:w="85" w:type="dxa"/>
              <w:right w:w="85" w:type="dxa"/>
            </w:tcMar>
          </w:tcPr>
          <w:p w:rsidR="001D2A7E" w:rsidRPr="00835256" w:rsidRDefault="001D2A7E" w:rsidP="00B43DEB">
            <w:pPr>
              <w:ind w:left="0" w:firstLine="0"/>
              <w:jc w:val="left"/>
              <w:rPr>
                <w:rFonts w:ascii="Arial Narrow" w:hAnsi="Arial Narrow"/>
                <w:sz w:val="20"/>
              </w:rPr>
            </w:pPr>
          </w:p>
        </w:tc>
      </w:tr>
      <w:tr w:rsidR="001D2A7E" w:rsidRPr="00835256" w:rsidTr="00B43DEB">
        <w:trPr>
          <w:cantSplit/>
        </w:trPr>
        <w:tc>
          <w:tcPr>
            <w:tcW w:w="284" w:type="dxa"/>
            <w:tcBorders>
              <w:top w:val="nil"/>
              <w:left w:val="nil"/>
              <w:bottom w:val="nil"/>
              <w:right w:val="nil"/>
            </w:tcBorders>
          </w:tcPr>
          <w:p w:rsidR="001D2A7E" w:rsidRPr="00835256" w:rsidRDefault="001D2A7E" w:rsidP="00B43DEB">
            <w:pPr>
              <w:pStyle w:val="boxstyle"/>
              <w:keepNext/>
              <w:numPr>
                <w:ilvl w:val="0"/>
                <w:numId w:val="15"/>
              </w:numPr>
              <w:ind w:left="0" w:firstLine="0"/>
              <w:jc w:val="left"/>
              <w:rPr>
                <w:rFonts w:ascii="Arial Narrow" w:hAnsi="Arial Narrow"/>
              </w:rPr>
            </w:pPr>
          </w:p>
        </w:tc>
        <w:tc>
          <w:tcPr>
            <w:tcW w:w="5670" w:type="dxa"/>
            <w:tcBorders>
              <w:top w:val="nil"/>
              <w:left w:val="nil"/>
              <w:bottom w:val="nil"/>
            </w:tcBorders>
            <w:tcMar>
              <w:right w:w="85" w:type="dxa"/>
            </w:tcMar>
          </w:tcPr>
          <w:p w:rsidR="001D2A7E" w:rsidRPr="00835256" w:rsidRDefault="001D2A7E" w:rsidP="006B7202">
            <w:pPr>
              <w:overflowPunct/>
              <w:autoSpaceDE/>
              <w:autoSpaceDN/>
              <w:adjustRightInd/>
              <w:spacing w:after="100"/>
              <w:ind w:left="0" w:firstLine="0"/>
              <w:jc w:val="left"/>
              <w:textAlignment w:val="auto"/>
              <w:rPr>
                <w:rFonts w:ascii="Arial Narrow" w:hAnsi="Arial Narrow"/>
                <w:color w:val="000000"/>
                <w:sz w:val="20"/>
                <w:lang w:val="en-AU"/>
              </w:rPr>
            </w:pPr>
            <w:r>
              <w:rPr>
                <w:rFonts w:ascii="Arial Narrow" w:hAnsi="Arial Narrow"/>
                <w:color w:val="000000"/>
                <w:sz w:val="20"/>
                <w:lang w:val="en-AU"/>
              </w:rPr>
              <w:t>Is the production target based on a portion of inferred mineral resources and/or an exploration target in addition to ore reserves and/or measured and indicated mineral resources?</w:t>
            </w:r>
          </w:p>
        </w:tc>
        <w:tc>
          <w:tcPr>
            <w:tcW w:w="3118" w:type="dxa"/>
            <w:tcMar>
              <w:left w:w="85" w:type="dxa"/>
              <w:right w:w="85" w:type="dxa"/>
            </w:tcMar>
          </w:tcPr>
          <w:p w:rsidR="001D2A7E" w:rsidRPr="00835256" w:rsidRDefault="001D2A7E" w:rsidP="00B43DEB">
            <w:pPr>
              <w:pStyle w:val="boxstyle"/>
              <w:keepNext/>
              <w:jc w:val="left"/>
              <w:rPr>
                <w:rFonts w:ascii="Arial Narrow" w:hAnsi="Arial Narrow"/>
              </w:rPr>
            </w:pPr>
          </w:p>
        </w:tc>
      </w:tr>
      <w:tr w:rsidR="001D2A7E" w:rsidRPr="00835256" w:rsidTr="00B43DEB">
        <w:trPr>
          <w:cantSplit/>
        </w:trPr>
        <w:tc>
          <w:tcPr>
            <w:tcW w:w="284" w:type="dxa"/>
            <w:tcBorders>
              <w:top w:val="nil"/>
              <w:left w:val="nil"/>
              <w:bottom w:val="nil"/>
              <w:right w:val="nil"/>
            </w:tcBorders>
          </w:tcPr>
          <w:p w:rsidR="001D2A7E" w:rsidRPr="00835256" w:rsidRDefault="001D2A7E" w:rsidP="00B43DEB">
            <w:pPr>
              <w:pStyle w:val="boxstyle"/>
              <w:ind w:left="360"/>
              <w:jc w:val="left"/>
              <w:rPr>
                <w:rFonts w:ascii="Arial Narrow" w:hAnsi="Arial Narrow"/>
              </w:rPr>
            </w:pPr>
          </w:p>
        </w:tc>
        <w:tc>
          <w:tcPr>
            <w:tcW w:w="5670" w:type="dxa"/>
            <w:tcBorders>
              <w:top w:val="nil"/>
              <w:left w:val="nil"/>
              <w:bottom w:val="nil"/>
              <w:right w:val="nil"/>
            </w:tcBorders>
            <w:tcMar>
              <w:right w:w="85" w:type="dxa"/>
            </w:tcMar>
          </w:tcPr>
          <w:p w:rsidR="001D2A7E" w:rsidRPr="00835256" w:rsidRDefault="001D2A7E" w:rsidP="00B43DEB">
            <w:pPr>
              <w:overflowPunct/>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If so, please enter “Confirmed” in the column to the right to indicate that the entity is satisfied that the respective proportions of inferred mineral resources and the exploration target are not the determining factors in project viability (section 8.5 of Guidance Note 31 </w:t>
            </w:r>
            <w:r>
              <w:rPr>
                <w:rFonts w:ascii="Arial Narrow" w:hAnsi="Arial Narrow"/>
                <w:i/>
                <w:color w:val="000000"/>
                <w:sz w:val="20"/>
                <w:lang w:val="en-AU"/>
              </w:rPr>
              <w:t>Reporting on Mining Activities</w:t>
            </w:r>
            <w:r>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1D2A7E" w:rsidRPr="00835256" w:rsidRDefault="001D2A7E" w:rsidP="00B43DEB">
            <w:pPr>
              <w:pStyle w:val="boxstyle"/>
              <w:jc w:val="left"/>
              <w:rPr>
                <w:rFonts w:ascii="Arial Narrow" w:hAnsi="Arial Narrow"/>
              </w:rPr>
            </w:pPr>
          </w:p>
        </w:tc>
      </w:tr>
      <w:tr w:rsidR="001D2A7E" w:rsidRPr="00835256" w:rsidTr="00B43DEB">
        <w:trPr>
          <w:cantSplit/>
        </w:trPr>
        <w:tc>
          <w:tcPr>
            <w:tcW w:w="284" w:type="dxa"/>
            <w:tcBorders>
              <w:top w:val="nil"/>
              <w:left w:val="nil"/>
              <w:bottom w:val="nil"/>
              <w:right w:val="nil"/>
            </w:tcBorders>
          </w:tcPr>
          <w:p w:rsidR="001D2A7E" w:rsidRPr="00835256" w:rsidRDefault="001D2A7E" w:rsidP="00B43DEB">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1D2A7E" w:rsidRPr="00835256" w:rsidRDefault="001D2A7E" w:rsidP="00B43DEB">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1D2A7E" w:rsidRPr="00835256" w:rsidRDefault="001D2A7E" w:rsidP="00B43DEB">
            <w:pPr>
              <w:ind w:left="0" w:firstLine="0"/>
              <w:jc w:val="left"/>
              <w:rPr>
                <w:rFonts w:ascii="Arial Narrow" w:hAnsi="Arial Narrow"/>
                <w:sz w:val="20"/>
              </w:rPr>
            </w:pPr>
          </w:p>
        </w:tc>
      </w:tr>
      <w:tr w:rsidR="001D2A7E" w:rsidRPr="00835256" w:rsidTr="00B43DEB">
        <w:trPr>
          <w:cantSplit/>
        </w:trPr>
        <w:tc>
          <w:tcPr>
            <w:tcW w:w="284" w:type="dxa"/>
            <w:tcBorders>
              <w:top w:val="nil"/>
              <w:left w:val="nil"/>
              <w:bottom w:val="nil"/>
              <w:right w:val="nil"/>
            </w:tcBorders>
          </w:tcPr>
          <w:p w:rsidR="001D2A7E" w:rsidRPr="00835256" w:rsidRDefault="001D2A7E" w:rsidP="00B43DEB">
            <w:pPr>
              <w:pStyle w:val="boxstyle"/>
              <w:ind w:left="360"/>
              <w:jc w:val="left"/>
              <w:rPr>
                <w:rFonts w:ascii="Arial Narrow" w:hAnsi="Arial Narrow"/>
              </w:rPr>
            </w:pPr>
          </w:p>
        </w:tc>
        <w:tc>
          <w:tcPr>
            <w:tcW w:w="5670" w:type="dxa"/>
            <w:tcBorders>
              <w:top w:val="nil"/>
              <w:left w:val="nil"/>
              <w:bottom w:val="nil"/>
              <w:right w:val="nil"/>
            </w:tcBorders>
            <w:tcMar>
              <w:right w:w="85" w:type="dxa"/>
            </w:tcMar>
          </w:tcPr>
          <w:p w:rsidR="001D2A7E" w:rsidRPr="00835256" w:rsidRDefault="001D2A7E" w:rsidP="00B43DEB">
            <w:pPr>
              <w:overflowPunct/>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Please also enter “Confirmed” in the column to the right to indicate that the inferred mineral resources and exploration target do not feature as a significant proportion early in the mine plan (section 8.5 of Guidance Note 31 </w:t>
            </w:r>
            <w:r>
              <w:rPr>
                <w:rFonts w:ascii="Arial Narrow" w:hAnsi="Arial Narrow"/>
                <w:i/>
                <w:color w:val="000000"/>
                <w:sz w:val="20"/>
                <w:lang w:val="en-AU"/>
              </w:rPr>
              <w:t>Reporting on Mining Activities</w:t>
            </w:r>
            <w:r>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1D2A7E" w:rsidRPr="00835256" w:rsidRDefault="001D2A7E" w:rsidP="00B43DEB">
            <w:pPr>
              <w:pStyle w:val="boxstyle"/>
              <w:jc w:val="left"/>
              <w:rPr>
                <w:rFonts w:ascii="Arial Narrow" w:hAnsi="Arial Narrow"/>
              </w:rPr>
            </w:pPr>
          </w:p>
        </w:tc>
      </w:tr>
      <w:tr w:rsidR="0075078F" w:rsidRPr="00835256" w:rsidTr="0072155E">
        <w:trPr>
          <w:cantSplit/>
        </w:trPr>
        <w:tc>
          <w:tcPr>
            <w:tcW w:w="284" w:type="dxa"/>
            <w:tcBorders>
              <w:top w:val="nil"/>
              <w:left w:val="nil"/>
              <w:bottom w:val="nil"/>
              <w:right w:val="nil"/>
            </w:tcBorders>
          </w:tcPr>
          <w:p w:rsidR="0075078F" w:rsidRPr="00835256" w:rsidRDefault="0075078F" w:rsidP="00183E8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75078F" w:rsidRPr="00835256" w:rsidRDefault="0075078F" w:rsidP="00183E81">
            <w:pPr>
              <w:ind w:left="0" w:firstLine="0"/>
              <w:jc w:val="left"/>
              <w:rPr>
                <w:rFonts w:ascii="Arial Narrow" w:hAnsi="Arial Narrow"/>
                <w:sz w:val="20"/>
              </w:rPr>
            </w:pPr>
          </w:p>
        </w:tc>
        <w:tc>
          <w:tcPr>
            <w:tcW w:w="3118" w:type="dxa"/>
            <w:tcBorders>
              <w:top w:val="nil"/>
              <w:left w:val="nil"/>
              <w:bottom w:val="single" w:sz="6" w:space="0" w:color="auto"/>
              <w:right w:val="nil"/>
            </w:tcBorders>
            <w:tcMar>
              <w:left w:w="85" w:type="dxa"/>
              <w:right w:w="85" w:type="dxa"/>
            </w:tcMar>
          </w:tcPr>
          <w:p w:rsidR="0075078F" w:rsidRPr="00835256" w:rsidRDefault="0075078F" w:rsidP="00183E81">
            <w:pPr>
              <w:ind w:left="0" w:firstLine="0"/>
              <w:jc w:val="left"/>
              <w:rPr>
                <w:rFonts w:ascii="Arial Narrow" w:hAnsi="Arial Narrow"/>
                <w:sz w:val="20"/>
              </w:rPr>
            </w:pPr>
          </w:p>
        </w:tc>
      </w:tr>
      <w:tr w:rsidR="001E30B3" w:rsidRPr="00835256" w:rsidTr="0072155E">
        <w:trPr>
          <w:cantSplit/>
        </w:trPr>
        <w:tc>
          <w:tcPr>
            <w:tcW w:w="284" w:type="dxa"/>
            <w:tcBorders>
              <w:top w:val="nil"/>
              <w:left w:val="nil"/>
              <w:bottom w:val="nil"/>
              <w:right w:val="nil"/>
            </w:tcBorders>
          </w:tcPr>
          <w:p w:rsidR="001E30B3" w:rsidRPr="00835256" w:rsidRDefault="001E30B3" w:rsidP="00183E81">
            <w:pPr>
              <w:pStyle w:val="boxstyle"/>
              <w:numPr>
                <w:ilvl w:val="0"/>
                <w:numId w:val="15"/>
              </w:numPr>
              <w:ind w:left="0" w:firstLine="0"/>
              <w:jc w:val="left"/>
              <w:rPr>
                <w:rFonts w:ascii="Arial Narrow" w:hAnsi="Arial Narrow"/>
              </w:rPr>
            </w:pPr>
          </w:p>
        </w:tc>
        <w:tc>
          <w:tcPr>
            <w:tcW w:w="5670" w:type="dxa"/>
            <w:tcBorders>
              <w:top w:val="nil"/>
              <w:left w:val="nil"/>
              <w:bottom w:val="nil"/>
              <w:right w:val="single" w:sz="6" w:space="0" w:color="auto"/>
            </w:tcBorders>
            <w:tcMar>
              <w:right w:w="85" w:type="dxa"/>
            </w:tcMar>
          </w:tcPr>
          <w:p w:rsidR="0075078F" w:rsidRPr="00835256" w:rsidRDefault="0075078F" w:rsidP="0075078F">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Is a proportion of the production target based on qualifying foreign estimates that have not been verified and reported as mineral resources or ore reserves in accordance with the JORC Code after 3 years from the date the qualifying foreign estimates were initially reported?</w:t>
            </w:r>
          </w:p>
          <w:p w:rsidR="001E30B3" w:rsidRPr="00835256" w:rsidRDefault="0075078F"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If so, w</w:t>
            </w:r>
            <w:r w:rsidR="001E30B3" w:rsidRPr="00835256">
              <w:rPr>
                <w:rFonts w:ascii="Arial Narrow" w:hAnsi="Arial Narrow"/>
                <w:color w:val="000000"/>
                <w:sz w:val="20"/>
                <w:lang w:val="en-AU"/>
              </w:rPr>
              <w:t xml:space="preserve">here in the Offer Document </w:t>
            </w:r>
            <w:r w:rsidRPr="00835256">
              <w:rPr>
                <w:rFonts w:ascii="Arial Narrow" w:hAnsi="Arial Narrow"/>
                <w:color w:val="000000"/>
                <w:sz w:val="20"/>
                <w:lang w:val="en-AU"/>
              </w:rPr>
              <w:t xml:space="preserve">is the statement and explanation referred to in Listing Rule 5.14.2 </w:t>
            </w:r>
            <w:r w:rsidR="001E30B3" w:rsidRPr="00835256">
              <w:rPr>
                <w:rFonts w:ascii="Arial Narrow" w:hAnsi="Arial Narrow"/>
                <w:color w:val="000000"/>
                <w:sz w:val="20"/>
                <w:lang w:val="en-AU"/>
              </w:rPr>
              <w:t>(Listing Rule 5.</w:t>
            </w:r>
            <w:r w:rsidRPr="00835256">
              <w:rPr>
                <w:rFonts w:ascii="Arial Narrow" w:hAnsi="Arial Narrow"/>
                <w:color w:val="000000"/>
                <w:sz w:val="20"/>
                <w:lang w:val="en-AU"/>
              </w:rPr>
              <w:t>16.7</w:t>
            </w:r>
            <w:r w:rsidR="001E30B3" w:rsidRPr="0083525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1E30B3" w:rsidRPr="00835256" w:rsidRDefault="001E30B3" w:rsidP="00183E81">
            <w:pPr>
              <w:pStyle w:val="boxstyle"/>
              <w:jc w:val="left"/>
              <w:rPr>
                <w:rFonts w:ascii="Arial Narrow" w:hAnsi="Arial Narrow"/>
              </w:rPr>
            </w:pPr>
          </w:p>
        </w:tc>
      </w:tr>
      <w:tr w:rsidR="006718FE" w:rsidRPr="00835256" w:rsidTr="0072155E">
        <w:trPr>
          <w:cantSplit/>
        </w:trPr>
        <w:tc>
          <w:tcPr>
            <w:tcW w:w="284" w:type="dxa"/>
            <w:tcBorders>
              <w:top w:val="nil"/>
              <w:left w:val="nil"/>
              <w:bottom w:val="nil"/>
              <w:right w:val="nil"/>
            </w:tcBorders>
          </w:tcPr>
          <w:p w:rsidR="006718FE" w:rsidRPr="00835256" w:rsidRDefault="006718FE" w:rsidP="00AB346C">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6718FE" w:rsidRPr="00835256" w:rsidRDefault="006718FE" w:rsidP="006E2841">
            <w:pPr>
              <w:ind w:left="0" w:firstLine="0"/>
              <w:jc w:val="left"/>
              <w:rPr>
                <w:rFonts w:ascii="Arial Narrow" w:hAnsi="Arial Narrow"/>
                <w:sz w:val="20"/>
              </w:rPr>
            </w:pPr>
          </w:p>
        </w:tc>
        <w:tc>
          <w:tcPr>
            <w:tcW w:w="3118" w:type="dxa"/>
            <w:tcBorders>
              <w:top w:val="single" w:sz="6" w:space="0" w:color="auto"/>
              <w:left w:val="nil"/>
              <w:right w:val="nil"/>
            </w:tcBorders>
            <w:tcMar>
              <w:left w:w="85" w:type="dxa"/>
              <w:right w:w="85" w:type="dxa"/>
            </w:tcMar>
          </w:tcPr>
          <w:p w:rsidR="006718FE" w:rsidRPr="00835256" w:rsidRDefault="006718FE" w:rsidP="00AB346C">
            <w:pPr>
              <w:ind w:left="0" w:firstLine="0"/>
              <w:jc w:val="left"/>
              <w:rPr>
                <w:rFonts w:ascii="Arial Narrow" w:hAnsi="Arial Narrow"/>
                <w:sz w:val="20"/>
              </w:rPr>
            </w:pPr>
          </w:p>
        </w:tc>
      </w:tr>
      <w:tr w:rsidR="006E2841" w:rsidRPr="00835256" w:rsidTr="0072155E">
        <w:trPr>
          <w:cantSplit/>
        </w:trPr>
        <w:tc>
          <w:tcPr>
            <w:tcW w:w="284" w:type="dxa"/>
            <w:tcBorders>
              <w:top w:val="nil"/>
              <w:left w:val="nil"/>
              <w:bottom w:val="nil"/>
              <w:right w:val="nil"/>
            </w:tcBorders>
          </w:tcPr>
          <w:p w:rsidR="006E2841" w:rsidRPr="00835256" w:rsidRDefault="006E2841" w:rsidP="00CE2A5F">
            <w:pPr>
              <w:pStyle w:val="boxstyle"/>
              <w:keepNext/>
              <w:numPr>
                <w:ilvl w:val="0"/>
                <w:numId w:val="15"/>
              </w:numPr>
              <w:ind w:left="0" w:firstLine="0"/>
              <w:jc w:val="left"/>
              <w:rPr>
                <w:rFonts w:ascii="Arial Narrow" w:hAnsi="Arial Narrow"/>
              </w:rPr>
            </w:pPr>
          </w:p>
        </w:tc>
        <w:tc>
          <w:tcPr>
            <w:tcW w:w="5670" w:type="dxa"/>
            <w:tcBorders>
              <w:top w:val="nil"/>
              <w:left w:val="nil"/>
              <w:bottom w:val="nil"/>
            </w:tcBorders>
            <w:tcMar>
              <w:right w:w="85" w:type="dxa"/>
            </w:tcMar>
          </w:tcPr>
          <w:p w:rsidR="009C685A" w:rsidRPr="009C685A" w:rsidRDefault="009C685A" w:rsidP="009C685A">
            <w:pPr>
              <w:overflowPunct/>
              <w:autoSpaceDE/>
              <w:autoSpaceDN/>
              <w:adjustRightInd/>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Doe</w:t>
            </w:r>
            <w:r w:rsidR="006E2841" w:rsidRPr="00835256">
              <w:rPr>
                <w:rFonts w:ascii="Arial Narrow" w:hAnsi="Arial Narrow"/>
                <w:color w:val="000000"/>
                <w:sz w:val="20"/>
                <w:lang w:val="en-AU"/>
              </w:rPr>
              <w:t xml:space="preserve">s the </w:t>
            </w:r>
            <w:r>
              <w:rPr>
                <w:rFonts w:ascii="Arial Narrow" w:hAnsi="Arial Narrow"/>
                <w:color w:val="000000"/>
                <w:sz w:val="20"/>
                <w:lang w:val="en-AU"/>
              </w:rPr>
              <w:t xml:space="preserve">Offer Document include </w:t>
            </w:r>
            <w:r w:rsidRPr="009C685A">
              <w:rPr>
                <w:rFonts w:ascii="Arial Narrow" w:hAnsi="Arial Narrow"/>
                <w:color w:val="000000"/>
                <w:sz w:val="20"/>
                <w:lang w:val="en-AU"/>
              </w:rPr>
              <w:t xml:space="preserve">forecast financial information derived </w:t>
            </w:r>
            <w:r>
              <w:rPr>
                <w:rFonts w:ascii="Arial Narrow" w:hAnsi="Arial Narrow"/>
                <w:color w:val="000000"/>
                <w:sz w:val="20"/>
                <w:lang w:val="en-AU"/>
              </w:rPr>
              <w:t xml:space="preserve">from a </w:t>
            </w:r>
            <w:r w:rsidRPr="009C685A">
              <w:rPr>
                <w:rFonts w:ascii="Arial Narrow" w:hAnsi="Arial Narrow"/>
                <w:color w:val="000000"/>
                <w:sz w:val="20"/>
                <w:lang w:val="en-AU"/>
              </w:rPr>
              <w:t>production target relating to:</w:t>
            </w:r>
          </w:p>
          <w:p w:rsidR="009C685A" w:rsidRPr="009C685A" w:rsidRDefault="009C685A" w:rsidP="009C685A">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9C685A">
              <w:rPr>
                <w:rFonts w:ascii="Arial Narrow" w:hAnsi="Arial Narrow"/>
                <w:color w:val="000000"/>
                <w:sz w:val="20"/>
                <w:lang w:val="en-AU"/>
              </w:rPr>
              <w:t>the mineral resources and ore reserves holdings of the entity (an entity level production target); or</w:t>
            </w:r>
          </w:p>
          <w:p w:rsidR="006E2841" w:rsidRPr="00835256" w:rsidRDefault="009C685A" w:rsidP="006B7202">
            <w:pPr>
              <w:numPr>
                <w:ilvl w:val="0"/>
                <w:numId w:val="21"/>
              </w:numPr>
              <w:overflowPunct/>
              <w:autoSpaceDE/>
              <w:autoSpaceDN/>
              <w:adjustRightInd/>
              <w:spacing w:after="100"/>
              <w:ind w:left="284" w:hanging="284"/>
              <w:jc w:val="left"/>
              <w:textAlignment w:val="auto"/>
              <w:rPr>
                <w:rFonts w:ascii="Arial Narrow" w:hAnsi="Arial Narrow"/>
                <w:color w:val="000000"/>
                <w:sz w:val="20"/>
                <w:lang w:val="en-AU"/>
              </w:rPr>
            </w:pPr>
            <w:r w:rsidRPr="009C685A">
              <w:rPr>
                <w:rFonts w:ascii="Arial Narrow" w:hAnsi="Arial Narrow"/>
                <w:color w:val="000000"/>
                <w:sz w:val="20"/>
                <w:lang w:val="en-AU"/>
              </w:rPr>
              <w:t>a material mining project of the entity (or two or more mining projects which</w:t>
            </w:r>
            <w:r>
              <w:rPr>
                <w:rFonts w:ascii="Arial Narrow" w:hAnsi="Arial Narrow"/>
                <w:color w:val="000000"/>
                <w:sz w:val="20"/>
                <w:lang w:val="en-AU"/>
              </w:rPr>
              <w:t xml:space="preserve"> </w:t>
            </w:r>
            <w:r w:rsidRPr="009C685A">
              <w:rPr>
                <w:rFonts w:ascii="Arial Narrow" w:hAnsi="Arial Narrow"/>
                <w:color w:val="000000"/>
                <w:sz w:val="20"/>
                <w:lang w:val="en-AU"/>
              </w:rPr>
              <w:t>together are material to the entity)</w:t>
            </w:r>
            <w:r w:rsidR="006E2841" w:rsidRPr="00835256">
              <w:rPr>
                <w:rFonts w:ascii="Arial Narrow" w:hAnsi="Arial Narrow"/>
                <w:color w:val="000000"/>
                <w:sz w:val="20"/>
                <w:lang w:val="en-AU"/>
              </w:rPr>
              <w:t>?</w:t>
            </w:r>
          </w:p>
        </w:tc>
        <w:tc>
          <w:tcPr>
            <w:tcW w:w="3118" w:type="dxa"/>
            <w:tcMar>
              <w:left w:w="85" w:type="dxa"/>
              <w:right w:w="85" w:type="dxa"/>
            </w:tcMar>
          </w:tcPr>
          <w:p w:rsidR="006E2841" w:rsidRPr="00835256" w:rsidRDefault="006E2841" w:rsidP="00CE2A5F">
            <w:pPr>
              <w:pStyle w:val="boxstyle"/>
              <w:keepNext/>
              <w:jc w:val="left"/>
              <w:rPr>
                <w:rFonts w:ascii="Arial Narrow" w:hAnsi="Arial Narrow"/>
              </w:rPr>
            </w:pPr>
          </w:p>
        </w:tc>
      </w:tr>
      <w:tr w:rsidR="006E2841" w:rsidRPr="00835256" w:rsidTr="0072155E">
        <w:trPr>
          <w:cantSplit/>
        </w:trPr>
        <w:tc>
          <w:tcPr>
            <w:tcW w:w="284" w:type="dxa"/>
            <w:tcBorders>
              <w:top w:val="nil"/>
              <w:left w:val="nil"/>
              <w:bottom w:val="nil"/>
              <w:right w:val="nil"/>
            </w:tcBorders>
          </w:tcPr>
          <w:p w:rsidR="006E2841" w:rsidRPr="00835256" w:rsidRDefault="006E2841" w:rsidP="00CE2A5F">
            <w:pPr>
              <w:pStyle w:val="boxstyle"/>
              <w:ind w:left="360"/>
              <w:jc w:val="left"/>
              <w:rPr>
                <w:rFonts w:ascii="Arial Narrow" w:hAnsi="Arial Narrow"/>
              </w:rPr>
            </w:pPr>
          </w:p>
        </w:tc>
        <w:tc>
          <w:tcPr>
            <w:tcW w:w="5670" w:type="dxa"/>
            <w:tcBorders>
              <w:top w:val="nil"/>
              <w:left w:val="nil"/>
              <w:bottom w:val="nil"/>
              <w:right w:val="nil"/>
            </w:tcBorders>
            <w:tcMar>
              <w:right w:w="85" w:type="dxa"/>
            </w:tcMar>
          </w:tcPr>
          <w:p w:rsidR="006E2841" w:rsidRPr="00835256" w:rsidRDefault="006E2841"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If so, where in the Offer Document does it include </w:t>
            </w:r>
            <w:r w:rsidR="009C685A" w:rsidRPr="009C685A">
              <w:rPr>
                <w:rFonts w:ascii="Arial Narrow" w:hAnsi="Arial Narrow"/>
                <w:color w:val="000000"/>
                <w:sz w:val="20"/>
                <w:lang w:val="en-AU"/>
              </w:rPr>
              <w:t xml:space="preserve">all material assumptions on which the forecast financial information is based </w:t>
            </w:r>
            <w:r w:rsidRPr="00835256">
              <w:rPr>
                <w:rFonts w:ascii="Arial Narrow" w:hAnsi="Arial Narrow"/>
                <w:color w:val="000000"/>
                <w:sz w:val="20"/>
                <w:lang w:val="en-AU"/>
              </w:rPr>
              <w:t>(Listing Rule 5.1</w:t>
            </w:r>
            <w:r w:rsidR="009C685A">
              <w:rPr>
                <w:rFonts w:ascii="Arial Narrow" w:hAnsi="Arial Narrow"/>
                <w:color w:val="000000"/>
                <w:sz w:val="20"/>
                <w:lang w:val="en-AU"/>
              </w:rPr>
              <w:t>7</w:t>
            </w:r>
            <w:r w:rsidRPr="00835256">
              <w:rPr>
                <w:rFonts w:ascii="Arial Narrow" w:hAnsi="Arial Narrow"/>
                <w:color w:val="000000"/>
                <w:sz w:val="20"/>
                <w:lang w:val="en-AU"/>
              </w:rPr>
              <w:t>.</w:t>
            </w:r>
            <w:r w:rsidR="009C685A">
              <w:rPr>
                <w:rFonts w:ascii="Arial Narrow" w:hAnsi="Arial Narrow"/>
                <w:color w:val="000000"/>
                <w:sz w:val="20"/>
                <w:lang w:val="en-AU"/>
              </w:rPr>
              <w:t>1</w:t>
            </w:r>
            <w:r w:rsidRPr="00835256">
              <w:rPr>
                <w:rFonts w:ascii="Arial Narrow" w:hAnsi="Arial Narrow"/>
                <w:color w:val="000000"/>
                <w:sz w:val="20"/>
                <w:lang w:val="en-AU"/>
              </w:rPr>
              <w:t>)?</w:t>
            </w:r>
            <w:r w:rsidR="009C685A" w:rsidRPr="00710666">
              <w:rPr>
                <w:rStyle w:val="FootnoteReference"/>
                <w:rFonts w:ascii="Arial Narrow" w:hAnsi="Arial Narrow"/>
                <w:position w:val="0"/>
                <w:sz w:val="20"/>
                <w:vertAlign w:val="superscript"/>
              </w:rPr>
              <w:footnoteReference w:id="17"/>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6E2841" w:rsidRPr="00835256" w:rsidRDefault="006E2841" w:rsidP="00CE2A5F">
            <w:pPr>
              <w:pStyle w:val="boxstyle"/>
              <w:jc w:val="left"/>
              <w:rPr>
                <w:rFonts w:ascii="Arial Narrow" w:hAnsi="Arial Narrow"/>
              </w:rPr>
            </w:pPr>
          </w:p>
        </w:tc>
      </w:tr>
      <w:tr w:rsidR="006E2841" w:rsidRPr="00835256" w:rsidTr="0072155E">
        <w:trPr>
          <w:cantSplit/>
        </w:trPr>
        <w:tc>
          <w:tcPr>
            <w:tcW w:w="284" w:type="dxa"/>
            <w:tcBorders>
              <w:top w:val="nil"/>
              <w:left w:val="nil"/>
              <w:bottom w:val="nil"/>
              <w:right w:val="nil"/>
            </w:tcBorders>
          </w:tcPr>
          <w:p w:rsidR="006E2841" w:rsidRPr="00835256" w:rsidRDefault="006E2841" w:rsidP="00CE2A5F">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6E2841" w:rsidRPr="00835256" w:rsidRDefault="006E2841" w:rsidP="00CE2A5F">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6E2841" w:rsidRPr="00835256" w:rsidRDefault="006E2841" w:rsidP="00CE2A5F">
            <w:pPr>
              <w:ind w:left="0" w:firstLine="0"/>
              <w:jc w:val="left"/>
              <w:rPr>
                <w:rFonts w:ascii="Arial Narrow" w:hAnsi="Arial Narrow"/>
                <w:sz w:val="20"/>
              </w:rPr>
            </w:pPr>
          </w:p>
        </w:tc>
      </w:tr>
      <w:tr w:rsidR="006E2841" w:rsidRPr="00835256" w:rsidTr="0072155E">
        <w:trPr>
          <w:cantSplit/>
        </w:trPr>
        <w:tc>
          <w:tcPr>
            <w:tcW w:w="284" w:type="dxa"/>
            <w:tcBorders>
              <w:top w:val="nil"/>
              <w:left w:val="nil"/>
              <w:bottom w:val="nil"/>
              <w:right w:val="nil"/>
            </w:tcBorders>
          </w:tcPr>
          <w:p w:rsidR="006E2841" w:rsidRPr="00835256" w:rsidRDefault="006E2841" w:rsidP="00CE2A5F">
            <w:pPr>
              <w:pStyle w:val="boxstyle"/>
              <w:ind w:left="360"/>
              <w:jc w:val="left"/>
              <w:rPr>
                <w:rFonts w:ascii="Arial Narrow" w:hAnsi="Arial Narrow"/>
              </w:rPr>
            </w:pPr>
          </w:p>
        </w:tc>
        <w:tc>
          <w:tcPr>
            <w:tcW w:w="5670" w:type="dxa"/>
            <w:tcBorders>
              <w:top w:val="nil"/>
              <w:left w:val="nil"/>
              <w:bottom w:val="nil"/>
              <w:right w:val="nil"/>
            </w:tcBorders>
            <w:tcMar>
              <w:right w:w="85" w:type="dxa"/>
            </w:tcMar>
          </w:tcPr>
          <w:p w:rsidR="006E2841" w:rsidRPr="00835256" w:rsidRDefault="009C685A" w:rsidP="00122C1C">
            <w:pPr>
              <w:overflowPunct/>
              <w:ind w:left="0" w:firstLine="0"/>
              <w:jc w:val="left"/>
              <w:textAlignment w:val="auto"/>
              <w:rPr>
                <w:rFonts w:ascii="Arial Narrow" w:hAnsi="Arial Narrow"/>
                <w:color w:val="000000"/>
                <w:sz w:val="20"/>
                <w:lang w:val="en-AU"/>
              </w:rPr>
            </w:pPr>
            <w:r>
              <w:rPr>
                <w:rFonts w:ascii="Arial Narrow" w:hAnsi="Arial Narrow"/>
                <w:color w:val="000000"/>
                <w:sz w:val="20"/>
                <w:lang w:val="en-AU"/>
              </w:rPr>
              <w:t>W</w:t>
            </w:r>
            <w:r w:rsidR="006E2841" w:rsidRPr="00835256">
              <w:rPr>
                <w:rFonts w:ascii="Arial Narrow" w:hAnsi="Arial Narrow"/>
                <w:color w:val="000000"/>
                <w:sz w:val="20"/>
                <w:lang w:val="en-AU"/>
              </w:rPr>
              <w:t xml:space="preserve">here in the Offer Document </w:t>
            </w:r>
            <w:r>
              <w:rPr>
                <w:rFonts w:ascii="Arial Narrow" w:hAnsi="Arial Narrow"/>
                <w:color w:val="000000"/>
                <w:sz w:val="20"/>
                <w:lang w:val="en-AU"/>
              </w:rPr>
              <w:t xml:space="preserve">does </w:t>
            </w:r>
            <w:r w:rsidR="006E2841" w:rsidRPr="00835256">
              <w:rPr>
                <w:rFonts w:ascii="Arial Narrow" w:hAnsi="Arial Narrow"/>
                <w:color w:val="000000"/>
                <w:sz w:val="20"/>
                <w:lang w:val="en-AU"/>
              </w:rPr>
              <w:t xml:space="preserve">it state the </w:t>
            </w:r>
            <w:r w:rsidRPr="009C685A">
              <w:rPr>
                <w:rFonts w:ascii="Arial Narrow" w:hAnsi="Arial Narrow"/>
                <w:color w:val="000000"/>
                <w:sz w:val="20"/>
                <w:lang w:val="en-AU"/>
              </w:rPr>
              <w:t>production target from which the forecast financial information is derived, including all the information contained in Listing Rule 5.16</w:t>
            </w:r>
            <w:r w:rsidR="006E2841" w:rsidRPr="00835256">
              <w:rPr>
                <w:rFonts w:ascii="Arial Narrow" w:hAnsi="Arial Narrow"/>
                <w:color w:val="000000"/>
                <w:sz w:val="20"/>
                <w:lang w:val="en-AU"/>
              </w:rPr>
              <w:t xml:space="preserve"> (</w:t>
            </w:r>
            <w:r>
              <w:rPr>
                <w:rFonts w:ascii="Arial Narrow" w:hAnsi="Arial Narrow"/>
                <w:color w:val="000000"/>
                <w:sz w:val="20"/>
                <w:lang w:val="en-AU"/>
              </w:rPr>
              <w:t>Listing Rule 5.17</w:t>
            </w:r>
            <w:r w:rsidR="006E2841" w:rsidRPr="00835256">
              <w:rPr>
                <w:rFonts w:ascii="Arial Narrow" w:hAnsi="Arial Narrow"/>
                <w:color w:val="000000"/>
                <w:sz w:val="20"/>
                <w:lang w:val="en-AU"/>
              </w:rPr>
              <w:t>.</w:t>
            </w:r>
            <w:r>
              <w:rPr>
                <w:rFonts w:ascii="Arial Narrow" w:hAnsi="Arial Narrow"/>
                <w:color w:val="000000"/>
                <w:sz w:val="20"/>
                <w:lang w:val="en-AU"/>
              </w:rPr>
              <w:t>2</w:t>
            </w:r>
            <w:r w:rsidR="006E2841" w:rsidRPr="0083525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6E2841" w:rsidRPr="00835256" w:rsidRDefault="006E2841" w:rsidP="00CE2A5F">
            <w:pPr>
              <w:pStyle w:val="boxstyle"/>
              <w:jc w:val="left"/>
              <w:rPr>
                <w:rFonts w:ascii="Arial Narrow" w:hAnsi="Arial Narrow"/>
              </w:rPr>
            </w:pPr>
          </w:p>
        </w:tc>
      </w:tr>
      <w:tr w:rsidR="006E2841" w:rsidRPr="00835256" w:rsidTr="0072155E">
        <w:trPr>
          <w:cantSplit/>
        </w:trPr>
        <w:tc>
          <w:tcPr>
            <w:tcW w:w="284" w:type="dxa"/>
            <w:tcBorders>
              <w:top w:val="nil"/>
              <w:left w:val="nil"/>
              <w:bottom w:val="nil"/>
              <w:right w:val="nil"/>
            </w:tcBorders>
          </w:tcPr>
          <w:p w:rsidR="006E2841" w:rsidRPr="00835256" w:rsidRDefault="006E2841" w:rsidP="00CE2A5F">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6E2841" w:rsidRPr="00835256" w:rsidRDefault="006E2841" w:rsidP="00CE2A5F">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6E2841" w:rsidRPr="00835256" w:rsidRDefault="006E2841" w:rsidP="00CE2A5F">
            <w:pPr>
              <w:ind w:left="0" w:firstLine="0"/>
              <w:jc w:val="left"/>
              <w:rPr>
                <w:rFonts w:ascii="Arial Narrow" w:hAnsi="Arial Narrow"/>
                <w:sz w:val="20"/>
              </w:rPr>
            </w:pPr>
          </w:p>
        </w:tc>
      </w:tr>
      <w:tr w:rsidR="006E2841" w:rsidRPr="00835256" w:rsidTr="0072155E">
        <w:trPr>
          <w:cantSplit/>
        </w:trPr>
        <w:tc>
          <w:tcPr>
            <w:tcW w:w="284" w:type="dxa"/>
            <w:tcBorders>
              <w:top w:val="nil"/>
              <w:left w:val="nil"/>
              <w:bottom w:val="nil"/>
              <w:right w:val="nil"/>
            </w:tcBorders>
          </w:tcPr>
          <w:p w:rsidR="006E2841" w:rsidRPr="00835256" w:rsidRDefault="006E2841" w:rsidP="00CE2A5F">
            <w:pPr>
              <w:pStyle w:val="boxstyle"/>
              <w:ind w:left="360"/>
              <w:jc w:val="left"/>
              <w:rPr>
                <w:rFonts w:ascii="Arial Narrow" w:hAnsi="Arial Narrow"/>
              </w:rPr>
            </w:pPr>
          </w:p>
        </w:tc>
        <w:tc>
          <w:tcPr>
            <w:tcW w:w="5670" w:type="dxa"/>
            <w:tcBorders>
              <w:top w:val="nil"/>
              <w:left w:val="nil"/>
              <w:bottom w:val="nil"/>
              <w:right w:val="nil"/>
            </w:tcBorders>
            <w:tcMar>
              <w:right w:w="85" w:type="dxa"/>
            </w:tcMar>
          </w:tcPr>
          <w:p w:rsidR="006E2841" w:rsidRPr="00835256" w:rsidRDefault="009C685A" w:rsidP="00122C1C">
            <w:pPr>
              <w:overflowPunct/>
              <w:ind w:left="0" w:firstLine="0"/>
              <w:jc w:val="left"/>
              <w:textAlignment w:val="auto"/>
              <w:rPr>
                <w:rFonts w:ascii="Arial Narrow" w:hAnsi="Arial Narrow"/>
                <w:color w:val="000000"/>
                <w:sz w:val="20"/>
                <w:lang w:val="en-AU"/>
              </w:rPr>
            </w:pPr>
            <w:r w:rsidRPr="009C685A">
              <w:rPr>
                <w:rFonts w:ascii="Arial Narrow" w:hAnsi="Arial Narrow"/>
                <w:color w:val="000000"/>
                <w:sz w:val="20"/>
                <w:lang w:val="en-AU"/>
              </w:rPr>
              <w:t>If a significant proportion of the production target is based on an exploration target, w</w:t>
            </w:r>
            <w:r w:rsidR="006E2841" w:rsidRPr="00835256">
              <w:rPr>
                <w:rFonts w:ascii="Arial Narrow" w:hAnsi="Arial Narrow"/>
                <w:color w:val="000000"/>
                <w:sz w:val="20"/>
                <w:lang w:val="en-AU"/>
              </w:rPr>
              <w:t xml:space="preserve">here in the Offer Document </w:t>
            </w:r>
            <w:r>
              <w:rPr>
                <w:rFonts w:ascii="Arial Narrow" w:hAnsi="Arial Narrow"/>
                <w:color w:val="000000"/>
                <w:sz w:val="20"/>
                <w:lang w:val="en-AU"/>
              </w:rPr>
              <w:t xml:space="preserve">does it state </w:t>
            </w:r>
            <w:r w:rsidRPr="009C685A">
              <w:rPr>
                <w:rFonts w:ascii="Arial Narrow" w:hAnsi="Arial Narrow"/>
                <w:color w:val="000000"/>
                <w:sz w:val="20"/>
                <w:lang w:val="en-AU"/>
              </w:rPr>
              <w:t>the implications for the forecast financial information of not including the exploration target in the production target</w:t>
            </w:r>
            <w:r w:rsidR="006E2841" w:rsidRPr="00835256">
              <w:rPr>
                <w:rFonts w:ascii="Arial Narrow" w:hAnsi="Arial Narrow"/>
                <w:color w:val="000000"/>
                <w:sz w:val="20"/>
                <w:lang w:val="en-AU"/>
              </w:rPr>
              <w:t xml:space="preserve"> (Listing Rule 5.1</w:t>
            </w:r>
            <w:r>
              <w:rPr>
                <w:rFonts w:ascii="Arial Narrow" w:hAnsi="Arial Narrow"/>
                <w:color w:val="000000"/>
                <w:sz w:val="20"/>
                <w:lang w:val="en-AU"/>
              </w:rPr>
              <w:t>7</w:t>
            </w:r>
            <w:r w:rsidR="006E2841" w:rsidRPr="00835256">
              <w:rPr>
                <w:rFonts w:ascii="Arial Narrow" w:hAnsi="Arial Narrow"/>
                <w:color w:val="000000"/>
                <w:sz w:val="20"/>
                <w:lang w:val="en-AU"/>
              </w:rPr>
              <w:t>.</w:t>
            </w:r>
            <w:r>
              <w:rPr>
                <w:rFonts w:ascii="Arial Narrow" w:hAnsi="Arial Narrow"/>
                <w:color w:val="000000"/>
                <w:sz w:val="20"/>
                <w:lang w:val="en-AU"/>
              </w:rPr>
              <w:t>3</w:t>
            </w:r>
            <w:r w:rsidR="006E2841" w:rsidRPr="0083525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6E2841" w:rsidRPr="00835256" w:rsidRDefault="006E2841" w:rsidP="00CE2A5F">
            <w:pPr>
              <w:pStyle w:val="boxstyle"/>
              <w:jc w:val="left"/>
              <w:rPr>
                <w:rFonts w:ascii="Arial Narrow" w:hAnsi="Arial Narrow"/>
              </w:rPr>
            </w:pPr>
          </w:p>
        </w:tc>
      </w:tr>
      <w:tr w:rsidR="00982CE2" w:rsidRPr="00835256" w:rsidTr="0072155E">
        <w:trPr>
          <w:cantSplit/>
        </w:trPr>
        <w:tc>
          <w:tcPr>
            <w:tcW w:w="9072" w:type="dxa"/>
            <w:gridSpan w:val="3"/>
            <w:tcBorders>
              <w:top w:val="nil"/>
              <w:left w:val="nil"/>
              <w:bottom w:val="nil"/>
            </w:tcBorders>
            <w:tcMar>
              <w:left w:w="0" w:type="dxa"/>
              <w:right w:w="0" w:type="dxa"/>
            </w:tcMar>
          </w:tcPr>
          <w:p w:rsidR="00982CE2" w:rsidRPr="00710666" w:rsidRDefault="00982CE2" w:rsidP="00576FB1">
            <w:pPr>
              <w:pStyle w:val="Heading4"/>
              <w:keepNext/>
              <w:spacing w:before="240" w:after="120"/>
              <w:jc w:val="left"/>
              <w:rPr>
                <w:rFonts w:ascii="Arial Narrow" w:hAnsi="Arial Narrow"/>
                <w:szCs w:val="22"/>
              </w:rPr>
            </w:pPr>
            <w:r w:rsidRPr="00835256">
              <w:rPr>
                <w:rFonts w:ascii="Arial Narrow" w:hAnsi="Arial Narrow"/>
              </w:rPr>
              <w:t xml:space="preserve">Scoping </w:t>
            </w:r>
            <w:r w:rsidRPr="00710666">
              <w:rPr>
                <w:rFonts w:ascii="Arial Narrow" w:hAnsi="Arial Narrow"/>
                <w:szCs w:val="22"/>
              </w:rPr>
              <w:t>studies</w:t>
            </w:r>
            <w:r w:rsidR="009153D8" w:rsidRPr="00710666">
              <w:rPr>
                <w:rStyle w:val="FootnoteReference"/>
                <w:rFonts w:ascii="Arial Narrow" w:hAnsi="Arial Narrow"/>
                <w:b w:val="0"/>
                <w:position w:val="0"/>
                <w:sz w:val="22"/>
                <w:szCs w:val="22"/>
                <w:vertAlign w:val="superscript"/>
              </w:rPr>
              <w:footnoteReference w:id="18"/>
            </w:r>
          </w:p>
          <w:p w:rsidR="00982CE2" w:rsidRPr="00835256" w:rsidRDefault="00982CE2" w:rsidP="00982CE2">
            <w:pPr>
              <w:pStyle w:val="Heading2"/>
              <w:spacing w:after="120"/>
              <w:jc w:val="left"/>
              <w:rPr>
                <w:rFonts w:ascii="Arial Narrow" w:hAnsi="Arial Narrow"/>
              </w:rPr>
            </w:pPr>
            <w:r w:rsidRPr="00835256">
              <w:rPr>
                <w:rFonts w:ascii="Arial Narrow" w:hAnsi="Arial Narrow"/>
                <w:b w:val="0"/>
                <w:i/>
                <w:color w:val="000000"/>
                <w:sz w:val="18"/>
              </w:rPr>
              <w:t>Complete this section if the Offer Document includes any reference to a scoping study</w:t>
            </w:r>
            <w:r w:rsidR="009153D8" w:rsidRPr="00835256">
              <w:rPr>
                <w:rFonts w:ascii="Arial Narrow" w:hAnsi="Arial Narrow"/>
                <w:b w:val="0"/>
                <w:i/>
                <w:color w:val="000000"/>
                <w:sz w:val="18"/>
              </w:rPr>
              <w:t>.</w:t>
            </w:r>
          </w:p>
        </w:tc>
      </w:tr>
      <w:tr w:rsidR="00982CE2" w:rsidRPr="00835256" w:rsidTr="0072155E">
        <w:trPr>
          <w:cantSplit/>
        </w:trPr>
        <w:tc>
          <w:tcPr>
            <w:tcW w:w="284" w:type="dxa"/>
            <w:tcBorders>
              <w:top w:val="nil"/>
              <w:left w:val="nil"/>
              <w:bottom w:val="nil"/>
              <w:right w:val="nil"/>
            </w:tcBorders>
          </w:tcPr>
          <w:p w:rsidR="00982CE2" w:rsidRPr="00835256" w:rsidRDefault="00982CE2" w:rsidP="00183E81">
            <w:pPr>
              <w:pStyle w:val="boxstyle"/>
              <w:numPr>
                <w:ilvl w:val="0"/>
                <w:numId w:val="15"/>
              </w:numPr>
              <w:ind w:left="0" w:firstLine="0"/>
              <w:jc w:val="left"/>
              <w:rPr>
                <w:rFonts w:ascii="Arial Narrow" w:hAnsi="Arial Narrow"/>
              </w:rPr>
            </w:pPr>
          </w:p>
        </w:tc>
        <w:tc>
          <w:tcPr>
            <w:tcW w:w="5670" w:type="dxa"/>
            <w:tcBorders>
              <w:top w:val="nil"/>
              <w:left w:val="nil"/>
              <w:bottom w:val="nil"/>
              <w:right w:val="nil"/>
            </w:tcBorders>
            <w:tcMar>
              <w:right w:w="85" w:type="dxa"/>
            </w:tcMar>
          </w:tcPr>
          <w:p w:rsidR="00982CE2" w:rsidRPr="00835256" w:rsidRDefault="00982CE2" w:rsidP="00982CE2">
            <w:pPr>
              <w:overflowPunct/>
              <w:spacing w:after="60"/>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Is the scoping s</w:t>
            </w:r>
            <w:r w:rsidR="009153D8" w:rsidRPr="00835256">
              <w:rPr>
                <w:rFonts w:ascii="Arial Narrow" w:hAnsi="Arial Narrow"/>
                <w:color w:val="000000"/>
                <w:sz w:val="20"/>
                <w:lang w:val="en-AU"/>
              </w:rPr>
              <w:t>tudy partially supported by an i</w:t>
            </w:r>
            <w:r w:rsidRPr="00835256">
              <w:rPr>
                <w:rFonts w:ascii="Arial Narrow" w:hAnsi="Arial Narrow"/>
                <w:color w:val="000000"/>
                <w:sz w:val="20"/>
                <w:lang w:val="en-AU"/>
              </w:rPr>
              <w:t xml:space="preserve">nferred </w:t>
            </w:r>
            <w:r w:rsidR="009153D8" w:rsidRPr="00835256">
              <w:rPr>
                <w:rFonts w:ascii="Arial Narrow" w:hAnsi="Arial Narrow"/>
                <w:color w:val="000000"/>
                <w:sz w:val="20"/>
                <w:lang w:val="en-AU"/>
              </w:rPr>
              <w:t>mineral r</w:t>
            </w:r>
            <w:r w:rsidRPr="00835256">
              <w:rPr>
                <w:rFonts w:ascii="Arial Narrow" w:hAnsi="Arial Narrow"/>
                <w:color w:val="000000"/>
                <w:sz w:val="20"/>
                <w:lang w:val="en-AU"/>
              </w:rPr>
              <w:t xml:space="preserve">esource and/or </w:t>
            </w:r>
            <w:r w:rsidR="009153D8" w:rsidRPr="00835256">
              <w:rPr>
                <w:rFonts w:ascii="Arial Narrow" w:hAnsi="Arial Narrow"/>
                <w:color w:val="000000"/>
                <w:sz w:val="20"/>
                <w:lang w:val="en-AU"/>
              </w:rPr>
              <w:t>e</w:t>
            </w:r>
            <w:r w:rsidRPr="00835256">
              <w:rPr>
                <w:rFonts w:ascii="Arial Narrow" w:hAnsi="Arial Narrow"/>
                <w:color w:val="000000"/>
                <w:sz w:val="20"/>
                <w:lang w:val="en-AU"/>
              </w:rPr>
              <w:t xml:space="preserve">xploration </w:t>
            </w:r>
            <w:r w:rsidR="009153D8" w:rsidRPr="00835256">
              <w:rPr>
                <w:rFonts w:ascii="Arial Narrow" w:hAnsi="Arial Narrow"/>
                <w:color w:val="000000"/>
                <w:sz w:val="20"/>
                <w:lang w:val="en-AU"/>
              </w:rPr>
              <w:t>t</w:t>
            </w:r>
            <w:r w:rsidRPr="00835256">
              <w:rPr>
                <w:rFonts w:ascii="Arial Narrow" w:hAnsi="Arial Narrow"/>
                <w:color w:val="000000"/>
                <w:sz w:val="20"/>
                <w:lang w:val="en-AU"/>
              </w:rPr>
              <w:t>arget?</w:t>
            </w:r>
          </w:p>
          <w:p w:rsidR="00982CE2" w:rsidRPr="00835256" w:rsidRDefault="00982CE2"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If so, where in the Offer Document does it state both the proportion and relative sequencing of the inferred mineral resource and/or exploration target within the scoping study (JORC clause 38)?</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982CE2" w:rsidRPr="00835256" w:rsidRDefault="00982CE2" w:rsidP="00183E81">
            <w:pPr>
              <w:pStyle w:val="boxstyle"/>
              <w:jc w:val="left"/>
              <w:rPr>
                <w:rFonts w:ascii="Arial Narrow" w:hAnsi="Arial Narrow"/>
              </w:rPr>
            </w:pPr>
          </w:p>
        </w:tc>
      </w:tr>
      <w:tr w:rsidR="00790B87" w:rsidRPr="00835256" w:rsidTr="00B43DEB">
        <w:trPr>
          <w:cantSplit/>
        </w:trPr>
        <w:tc>
          <w:tcPr>
            <w:tcW w:w="284" w:type="dxa"/>
            <w:tcBorders>
              <w:top w:val="nil"/>
              <w:left w:val="nil"/>
              <w:bottom w:val="nil"/>
              <w:right w:val="nil"/>
            </w:tcBorders>
          </w:tcPr>
          <w:p w:rsidR="00790B87" w:rsidRPr="00835256" w:rsidRDefault="00790B87" w:rsidP="00B43DEB">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790B87" w:rsidRPr="00835256" w:rsidRDefault="00790B87" w:rsidP="00B43DEB">
            <w:pPr>
              <w:ind w:left="0" w:firstLine="0"/>
              <w:jc w:val="left"/>
              <w:rPr>
                <w:rFonts w:ascii="Arial Narrow" w:hAnsi="Arial Narrow"/>
                <w:sz w:val="20"/>
              </w:rPr>
            </w:pPr>
          </w:p>
        </w:tc>
        <w:tc>
          <w:tcPr>
            <w:tcW w:w="3118" w:type="dxa"/>
            <w:tcBorders>
              <w:top w:val="nil"/>
              <w:left w:val="nil"/>
              <w:bottom w:val="single" w:sz="6" w:space="0" w:color="auto"/>
              <w:right w:val="nil"/>
            </w:tcBorders>
            <w:tcMar>
              <w:left w:w="85" w:type="dxa"/>
              <w:right w:w="85" w:type="dxa"/>
            </w:tcMar>
          </w:tcPr>
          <w:p w:rsidR="00790B87" w:rsidRPr="00835256" w:rsidRDefault="00790B87" w:rsidP="00B43DEB">
            <w:pPr>
              <w:ind w:left="0" w:firstLine="0"/>
              <w:jc w:val="left"/>
              <w:rPr>
                <w:rFonts w:ascii="Arial Narrow" w:hAnsi="Arial Narrow"/>
                <w:sz w:val="20"/>
              </w:rPr>
            </w:pPr>
          </w:p>
        </w:tc>
      </w:tr>
      <w:tr w:rsidR="00790B87" w:rsidRPr="00835256" w:rsidTr="00B43DEB">
        <w:trPr>
          <w:cantSplit/>
        </w:trPr>
        <w:tc>
          <w:tcPr>
            <w:tcW w:w="284" w:type="dxa"/>
            <w:tcBorders>
              <w:top w:val="nil"/>
              <w:left w:val="nil"/>
              <w:bottom w:val="nil"/>
              <w:right w:val="nil"/>
            </w:tcBorders>
          </w:tcPr>
          <w:p w:rsidR="00790B87" w:rsidRPr="00835256" w:rsidRDefault="00790B87" w:rsidP="00B43DEB">
            <w:pPr>
              <w:pStyle w:val="boxstyle"/>
              <w:numPr>
                <w:ilvl w:val="0"/>
                <w:numId w:val="15"/>
              </w:numPr>
              <w:ind w:left="0" w:firstLine="0"/>
              <w:jc w:val="left"/>
              <w:rPr>
                <w:rFonts w:ascii="Arial Narrow" w:hAnsi="Arial Narrow"/>
              </w:rPr>
            </w:pPr>
          </w:p>
        </w:tc>
        <w:tc>
          <w:tcPr>
            <w:tcW w:w="5670" w:type="dxa"/>
            <w:tcBorders>
              <w:top w:val="nil"/>
              <w:left w:val="nil"/>
              <w:bottom w:val="nil"/>
              <w:right w:val="single" w:sz="6" w:space="0" w:color="auto"/>
            </w:tcBorders>
            <w:tcMar>
              <w:right w:w="85" w:type="dxa"/>
            </w:tcMar>
          </w:tcPr>
          <w:p w:rsidR="00790B87" w:rsidRPr="00835256" w:rsidRDefault="00790B87" w:rsidP="00B43DEB">
            <w:pPr>
              <w:ind w:left="0" w:firstLine="0"/>
              <w:jc w:val="left"/>
              <w:rPr>
                <w:rFonts w:ascii="Arial Narrow" w:hAnsi="Arial Narrow"/>
                <w:sz w:val="20"/>
              </w:rPr>
            </w:pPr>
            <w:r w:rsidRPr="00835256">
              <w:rPr>
                <w:rFonts w:ascii="Arial Narrow" w:hAnsi="Arial Narrow"/>
                <w:color w:val="000000"/>
                <w:sz w:val="20"/>
                <w:lang w:val="en-AU"/>
              </w:rPr>
              <w:t>Where in the Offer Document is the cautionary statement required under clause 38 of the JORC Code about the scoping study?</w:t>
            </w:r>
            <w:r w:rsidRPr="00710666">
              <w:rPr>
                <w:rStyle w:val="FootnoteReference"/>
                <w:rFonts w:ascii="Arial Narrow" w:hAnsi="Arial Narrow"/>
                <w:position w:val="0"/>
                <w:sz w:val="20"/>
                <w:vertAlign w:val="superscript"/>
              </w:rPr>
              <w:footnoteReference w:id="19"/>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790B87" w:rsidRPr="00835256" w:rsidRDefault="00790B87" w:rsidP="00B43DEB">
            <w:pPr>
              <w:ind w:left="0" w:firstLine="0"/>
              <w:jc w:val="left"/>
              <w:rPr>
                <w:rFonts w:ascii="Arial Narrow" w:hAnsi="Arial Narrow"/>
                <w:sz w:val="20"/>
              </w:rPr>
            </w:pPr>
          </w:p>
        </w:tc>
      </w:tr>
      <w:tr w:rsidR="00982CE2" w:rsidRPr="00835256" w:rsidTr="0072155E">
        <w:trPr>
          <w:cantSplit/>
        </w:trPr>
        <w:tc>
          <w:tcPr>
            <w:tcW w:w="284" w:type="dxa"/>
            <w:tcBorders>
              <w:top w:val="nil"/>
              <w:left w:val="nil"/>
              <w:bottom w:val="nil"/>
              <w:right w:val="nil"/>
            </w:tcBorders>
          </w:tcPr>
          <w:p w:rsidR="00982CE2" w:rsidRPr="00835256" w:rsidRDefault="00982CE2" w:rsidP="00183E8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982CE2" w:rsidRPr="00835256" w:rsidRDefault="00982CE2" w:rsidP="00183E81">
            <w:pPr>
              <w:ind w:left="0" w:firstLine="0"/>
              <w:jc w:val="left"/>
              <w:rPr>
                <w:rFonts w:ascii="Arial Narrow" w:hAnsi="Arial Narrow"/>
                <w:sz w:val="20"/>
              </w:rPr>
            </w:pPr>
          </w:p>
        </w:tc>
        <w:tc>
          <w:tcPr>
            <w:tcW w:w="3118" w:type="dxa"/>
            <w:tcBorders>
              <w:top w:val="nil"/>
              <w:left w:val="nil"/>
              <w:bottom w:val="single" w:sz="6" w:space="0" w:color="auto"/>
              <w:right w:val="nil"/>
            </w:tcBorders>
            <w:tcMar>
              <w:left w:w="85" w:type="dxa"/>
              <w:right w:w="85" w:type="dxa"/>
            </w:tcMar>
          </w:tcPr>
          <w:p w:rsidR="00982CE2" w:rsidRPr="00835256" w:rsidRDefault="00982CE2" w:rsidP="00183E81">
            <w:pPr>
              <w:ind w:left="0" w:firstLine="0"/>
              <w:jc w:val="left"/>
              <w:rPr>
                <w:rFonts w:ascii="Arial Narrow" w:hAnsi="Arial Narrow"/>
                <w:sz w:val="20"/>
              </w:rPr>
            </w:pPr>
          </w:p>
        </w:tc>
      </w:tr>
      <w:tr w:rsidR="001E30B3" w:rsidRPr="00835256" w:rsidTr="0072155E">
        <w:trPr>
          <w:cantSplit/>
        </w:trPr>
        <w:tc>
          <w:tcPr>
            <w:tcW w:w="284" w:type="dxa"/>
            <w:tcBorders>
              <w:top w:val="nil"/>
              <w:left w:val="nil"/>
              <w:bottom w:val="nil"/>
              <w:right w:val="nil"/>
            </w:tcBorders>
          </w:tcPr>
          <w:p w:rsidR="001E30B3" w:rsidRPr="00835256" w:rsidRDefault="001E30B3" w:rsidP="00982CE2">
            <w:pPr>
              <w:pStyle w:val="boxstyle"/>
              <w:numPr>
                <w:ilvl w:val="0"/>
                <w:numId w:val="15"/>
              </w:numPr>
              <w:ind w:left="0" w:firstLine="0"/>
              <w:jc w:val="left"/>
              <w:rPr>
                <w:rFonts w:ascii="Arial Narrow" w:hAnsi="Arial Narrow"/>
              </w:rPr>
            </w:pPr>
          </w:p>
        </w:tc>
        <w:tc>
          <w:tcPr>
            <w:tcW w:w="5670" w:type="dxa"/>
            <w:tcBorders>
              <w:top w:val="nil"/>
              <w:left w:val="nil"/>
              <w:bottom w:val="nil"/>
              <w:right w:val="single" w:sz="6" w:space="0" w:color="auto"/>
            </w:tcBorders>
            <w:tcMar>
              <w:right w:w="85" w:type="dxa"/>
            </w:tcMar>
          </w:tcPr>
          <w:p w:rsidR="001E30B3" w:rsidRPr="00835256" w:rsidRDefault="00790B87" w:rsidP="009C685A">
            <w:pPr>
              <w:ind w:left="0" w:firstLine="0"/>
              <w:jc w:val="left"/>
              <w:rPr>
                <w:rFonts w:ascii="Arial Narrow" w:hAnsi="Arial Narrow"/>
                <w:sz w:val="20"/>
              </w:rPr>
            </w:pPr>
            <w:r>
              <w:rPr>
                <w:rFonts w:ascii="Arial Narrow" w:hAnsi="Arial Narrow"/>
                <w:color w:val="000000"/>
                <w:sz w:val="20"/>
                <w:lang w:val="en-AU"/>
              </w:rPr>
              <w:t>Has the sample cautionary statement suggested in clause 38 of the JORC Code been augmented to reflect the surrounding facts and circumstances and to address the other issues dealt with in ASX’s scoping study guidance (ASX Scoping Study Guideline 4)?</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1E30B3" w:rsidRPr="00835256" w:rsidRDefault="001E30B3" w:rsidP="00183E81">
            <w:pPr>
              <w:ind w:left="0" w:firstLine="0"/>
              <w:jc w:val="left"/>
              <w:rPr>
                <w:rFonts w:ascii="Arial Narrow" w:hAnsi="Arial Narrow"/>
                <w:sz w:val="20"/>
              </w:rPr>
            </w:pPr>
          </w:p>
        </w:tc>
      </w:tr>
      <w:tr w:rsidR="00E87700" w:rsidRPr="00835256" w:rsidTr="0072155E">
        <w:trPr>
          <w:cantSplit/>
        </w:trPr>
        <w:tc>
          <w:tcPr>
            <w:tcW w:w="9072" w:type="dxa"/>
            <w:gridSpan w:val="3"/>
            <w:tcBorders>
              <w:top w:val="nil"/>
              <w:left w:val="nil"/>
              <w:bottom w:val="nil"/>
            </w:tcBorders>
            <w:tcMar>
              <w:left w:w="0" w:type="dxa"/>
              <w:right w:w="0" w:type="dxa"/>
            </w:tcMar>
          </w:tcPr>
          <w:p w:rsidR="00E87700" w:rsidRPr="00835256" w:rsidRDefault="00E87700" w:rsidP="00576FB1">
            <w:pPr>
              <w:pStyle w:val="Heading4"/>
              <w:keepNext/>
              <w:spacing w:before="240" w:after="120"/>
              <w:jc w:val="left"/>
              <w:rPr>
                <w:rFonts w:ascii="Arial Narrow" w:hAnsi="Arial Narrow"/>
              </w:rPr>
            </w:pPr>
            <w:r w:rsidRPr="00835256">
              <w:rPr>
                <w:rFonts w:ascii="Arial Narrow" w:hAnsi="Arial Narrow"/>
              </w:rPr>
              <w:t>Mining exploration entities</w:t>
            </w:r>
          </w:p>
          <w:p w:rsidR="00E87700" w:rsidRPr="00835256" w:rsidRDefault="00E87700" w:rsidP="00E87700">
            <w:pPr>
              <w:pStyle w:val="Heading4"/>
              <w:keepNext/>
              <w:spacing w:after="120"/>
              <w:jc w:val="left"/>
              <w:rPr>
                <w:rFonts w:ascii="Arial Narrow" w:hAnsi="Arial Narrow"/>
              </w:rPr>
            </w:pPr>
            <w:r w:rsidRPr="00835256">
              <w:rPr>
                <w:rFonts w:ascii="Arial Narrow" w:hAnsi="Arial Narrow"/>
                <w:b w:val="0"/>
                <w:i/>
                <w:color w:val="000000"/>
                <w:sz w:val="18"/>
              </w:rPr>
              <w:t>Complete this section if the entity is a mining exploration entity</w:t>
            </w:r>
            <w:r w:rsidR="009153D8" w:rsidRPr="00835256">
              <w:rPr>
                <w:rFonts w:ascii="Arial Narrow" w:hAnsi="Arial Narrow"/>
                <w:b w:val="0"/>
                <w:i/>
                <w:color w:val="000000"/>
                <w:sz w:val="18"/>
              </w:rPr>
              <w:t>.</w:t>
            </w:r>
          </w:p>
        </w:tc>
      </w:tr>
      <w:tr w:rsidR="00E87700" w:rsidRPr="00835256" w:rsidTr="0072155E">
        <w:trPr>
          <w:cantSplit/>
        </w:trPr>
        <w:tc>
          <w:tcPr>
            <w:tcW w:w="284" w:type="dxa"/>
            <w:tcBorders>
              <w:top w:val="nil"/>
              <w:left w:val="nil"/>
              <w:bottom w:val="nil"/>
              <w:right w:val="nil"/>
            </w:tcBorders>
          </w:tcPr>
          <w:p w:rsidR="00E87700" w:rsidRPr="00835256" w:rsidRDefault="00E87700" w:rsidP="00A91BE3">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E87700" w:rsidRPr="00835256" w:rsidRDefault="00E87700" w:rsidP="00A60044">
            <w:pPr>
              <w:pStyle w:val="boxstyle"/>
              <w:spacing w:after="60"/>
              <w:jc w:val="left"/>
              <w:rPr>
                <w:rFonts w:ascii="Arial Narrow" w:hAnsi="Arial Narrow"/>
              </w:rPr>
            </w:pPr>
            <w:r w:rsidRPr="00835256">
              <w:rPr>
                <w:rFonts w:ascii="Arial Narrow" w:hAnsi="Arial Narrow"/>
              </w:rPr>
              <w:t>Where in the Offer Document is there a map or maps of the entity’s mining tenements prepared by a competent person, which:</w:t>
            </w:r>
          </w:p>
          <w:p w:rsidR="00E87700" w:rsidRPr="00835256" w:rsidRDefault="00E87700" w:rsidP="00A91BE3">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indicate the geology and other pertinent features of the tenements, including their extent and location in relation to a capital city or major town, and relative to any nearby properties which have a significant bearing on the potential of the tenements;</w:t>
            </w:r>
          </w:p>
          <w:p w:rsidR="00E87700" w:rsidRPr="00835256" w:rsidRDefault="00E87700" w:rsidP="00A91BE3">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are dated; and</w:t>
            </w:r>
          </w:p>
          <w:p w:rsidR="00E87700" w:rsidRPr="00835256" w:rsidRDefault="00E87700" w:rsidP="00E87700">
            <w:pPr>
              <w:numPr>
                <w:ilvl w:val="0"/>
                <w:numId w:val="21"/>
              </w:numPr>
              <w:overflowPunct/>
              <w:autoSpaceDE/>
              <w:autoSpaceDN/>
              <w:adjustRightInd/>
              <w:ind w:left="284" w:hanging="284"/>
              <w:jc w:val="left"/>
              <w:textAlignment w:val="auto"/>
              <w:rPr>
                <w:rFonts w:ascii="Arial Narrow" w:hAnsi="Arial Narrow" w:cs="Arial"/>
                <w:sz w:val="20"/>
                <w:lang w:val="en-US"/>
              </w:rPr>
            </w:pPr>
            <w:r w:rsidRPr="00835256">
              <w:rPr>
                <w:rFonts w:ascii="Arial Narrow" w:hAnsi="Arial Narrow"/>
                <w:color w:val="000000"/>
                <w:sz w:val="20"/>
                <w:lang w:val="en-AU"/>
              </w:rPr>
              <w:t>identify the competent person and the report to which they relate?</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87700" w:rsidRPr="00835256" w:rsidRDefault="00E87700" w:rsidP="00A91BE3">
            <w:pPr>
              <w:pStyle w:val="boxstyle"/>
              <w:jc w:val="left"/>
              <w:rPr>
                <w:rFonts w:ascii="Arial Narrow" w:hAnsi="Arial Narrow"/>
              </w:rPr>
            </w:pPr>
          </w:p>
        </w:tc>
      </w:tr>
      <w:tr w:rsidR="00E87700" w:rsidRPr="00835256" w:rsidTr="0072155E">
        <w:trPr>
          <w:cantSplit/>
        </w:trPr>
        <w:tc>
          <w:tcPr>
            <w:tcW w:w="284" w:type="dxa"/>
            <w:tcBorders>
              <w:top w:val="nil"/>
              <w:left w:val="nil"/>
              <w:bottom w:val="nil"/>
              <w:right w:val="nil"/>
            </w:tcBorders>
          </w:tcPr>
          <w:p w:rsidR="00E87700" w:rsidRPr="00835256" w:rsidRDefault="00E87700" w:rsidP="00A91BE3">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E87700" w:rsidRPr="00835256" w:rsidRDefault="00E87700" w:rsidP="00A91BE3">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E87700" w:rsidRPr="00835256" w:rsidRDefault="00E87700" w:rsidP="00A91BE3">
            <w:pPr>
              <w:ind w:left="0" w:firstLine="0"/>
              <w:jc w:val="left"/>
              <w:rPr>
                <w:rFonts w:ascii="Arial Narrow" w:hAnsi="Arial Narrow"/>
                <w:sz w:val="20"/>
              </w:rPr>
            </w:pPr>
          </w:p>
        </w:tc>
      </w:tr>
      <w:tr w:rsidR="00E87700" w:rsidRPr="00835256" w:rsidTr="0072155E">
        <w:trPr>
          <w:cantSplit/>
        </w:trPr>
        <w:tc>
          <w:tcPr>
            <w:tcW w:w="284" w:type="dxa"/>
            <w:tcBorders>
              <w:top w:val="nil"/>
              <w:left w:val="nil"/>
              <w:bottom w:val="nil"/>
              <w:right w:val="nil"/>
            </w:tcBorders>
          </w:tcPr>
          <w:p w:rsidR="00E87700" w:rsidRPr="00835256" w:rsidRDefault="00E87700" w:rsidP="00A91BE3">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E87700" w:rsidRPr="00835256" w:rsidRDefault="00E87700" w:rsidP="00F41985">
            <w:pPr>
              <w:pStyle w:val="boxstyle"/>
              <w:numPr>
                <w:ilvl w:val="12"/>
                <w:numId w:val="0"/>
              </w:numPr>
              <w:spacing w:after="60"/>
              <w:jc w:val="left"/>
              <w:rPr>
                <w:rFonts w:ascii="Arial Narrow" w:hAnsi="Arial Narrow"/>
              </w:rPr>
            </w:pPr>
            <w:r w:rsidRPr="00835256">
              <w:rPr>
                <w:rFonts w:ascii="Arial Narrow" w:hAnsi="Arial Narrow"/>
              </w:rPr>
              <w:t xml:space="preserve">Where in the Offer Document is there a schedule of the entity’s mining tenements prepared by a competent person, which states in relation to each </w:t>
            </w:r>
            <w:r w:rsidR="002F4340">
              <w:rPr>
                <w:rFonts w:ascii="Arial Narrow" w:hAnsi="Arial Narrow"/>
              </w:rPr>
              <w:t xml:space="preserve">mining </w:t>
            </w:r>
            <w:r w:rsidRPr="00835256">
              <w:rPr>
                <w:rFonts w:ascii="Arial Narrow" w:hAnsi="Arial Narrow"/>
              </w:rPr>
              <w:t>tenement:</w:t>
            </w:r>
          </w:p>
          <w:p w:rsidR="00E87700" w:rsidRPr="00835256" w:rsidRDefault="00E87700" w:rsidP="00A91BE3">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the geographical area where the mining tenement is situated;</w:t>
            </w:r>
          </w:p>
          <w:p w:rsidR="00E87700" w:rsidRPr="00835256" w:rsidRDefault="00E87700" w:rsidP="00A91BE3">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the nature of the title to the mining tenement;</w:t>
            </w:r>
          </w:p>
          <w:p w:rsidR="00E87700" w:rsidRPr="00835256" w:rsidRDefault="00E87700" w:rsidP="00A91BE3">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whether the title has been formally confirmed or approved and, if not, whether an application for confirmation or approval is pending and whether the application is subject to challenge; and</w:t>
            </w:r>
          </w:p>
          <w:p w:rsidR="00E87700" w:rsidRPr="00835256" w:rsidRDefault="00E87700" w:rsidP="00E87700">
            <w:pPr>
              <w:numPr>
                <w:ilvl w:val="0"/>
                <w:numId w:val="21"/>
              </w:numPr>
              <w:overflowPunct/>
              <w:autoSpaceDE/>
              <w:autoSpaceDN/>
              <w:adjustRightInd/>
              <w:ind w:left="284" w:hanging="284"/>
              <w:jc w:val="left"/>
              <w:textAlignment w:val="auto"/>
              <w:rPr>
                <w:rFonts w:ascii="Arial Narrow" w:hAnsi="Arial Narrow" w:cs="Arial"/>
                <w:sz w:val="20"/>
                <w:lang w:val="en-US"/>
              </w:rPr>
            </w:pPr>
            <w:r w:rsidRPr="00835256">
              <w:rPr>
                <w:rFonts w:ascii="Arial Narrow" w:hAnsi="Arial Narrow"/>
                <w:color w:val="000000"/>
                <w:sz w:val="20"/>
                <w:lang w:val="en-AU"/>
              </w:rPr>
              <w:t>the person in whose name the title to the mining tenement is currently held?</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87700" w:rsidRPr="00835256" w:rsidRDefault="00E87700" w:rsidP="00A91BE3">
            <w:pPr>
              <w:pStyle w:val="boxstyle"/>
              <w:jc w:val="left"/>
              <w:rPr>
                <w:rFonts w:ascii="Arial Narrow" w:hAnsi="Arial Narrow"/>
              </w:rPr>
            </w:pPr>
          </w:p>
        </w:tc>
      </w:tr>
      <w:tr w:rsidR="00E87700" w:rsidRPr="00835256" w:rsidTr="0072155E">
        <w:trPr>
          <w:cantSplit/>
        </w:trPr>
        <w:tc>
          <w:tcPr>
            <w:tcW w:w="284" w:type="dxa"/>
            <w:tcBorders>
              <w:top w:val="nil"/>
              <w:left w:val="nil"/>
              <w:bottom w:val="nil"/>
              <w:right w:val="nil"/>
            </w:tcBorders>
          </w:tcPr>
          <w:p w:rsidR="00E87700" w:rsidRPr="00835256" w:rsidRDefault="00E87700" w:rsidP="00A91BE3">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E87700" w:rsidRPr="00835256" w:rsidRDefault="00E87700" w:rsidP="00A91BE3">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E87700" w:rsidRPr="00835256" w:rsidRDefault="00E87700" w:rsidP="00A91BE3">
            <w:pPr>
              <w:ind w:left="0" w:firstLine="0"/>
              <w:jc w:val="left"/>
              <w:rPr>
                <w:rFonts w:ascii="Arial Narrow" w:hAnsi="Arial Narrow"/>
                <w:sz w:val="20"/>
              </w:rPr>
            </w:pPr>
          </w:p>
        </w:tc>
      </w:tr>
      <w:tr w:rsidR="00E87700" w:rsidRPr="00835256" w:rsidTr="0072155E">
        <w:trPr>
          <w:cantSplit/>
        </w:trPr>
        <w:tc>
          <w:tcPr>
            <w:tcW w:w="284" w:type="dxa"/>
            <w:tcBorders>
              <w:top w:val="nil"/>
              <w:left w:val="nil"/>
              <w:bottom w:val="nil"/>
              <w:right w:val="nil"/>
            </w:tcBorders>
          </w:tcPr>
          <w:p w:rsidR="00E87700" w:rsidRPr="00835256" w:rsidRDefault="00E87700" w:rsidP="00A91BE3">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E87700" w:rsidRPr="00835256" w:rsidRDefault="00E87700" w:rsidP="00E87700">
            <w:pPr>
              <w:overflowPunct/>
              <w:autoSpaceDE/>
              <w:autoSpaceDN/>
              <w:adjustRightInd/>
              <w:ind w:left="0" w:firstLine="0"/>
              <w:jc w:val="left"/>
              <w:textAlignment w:val="auto"/>
              <w:rPr>
                <w:rFonts w:ascii="Arial Narrow" w:hAnsi="Arial Narrow" w:cs="Arial"/>
                <w:sz w:val="20"/>
                <w:lang w:val="en-US"/>
              </w:rPr>
            </w:pPr>
            <w:r w:rsidRPr="00835256">
              <w:rPr>
                <w:rFonts w:ascii="Arial Narrow" w:hAnsi="Arial Narrow"/>
                <w:color w:val="000000"/>
                <w:sz w:val="20"/>
                <w:lang w:val="en-AU"/>
              </w:rPr>
              <w:t>Where in the Offer Document is there a statement setting out a program of expenditure, together with a timetable for completion of an exploration program, in respect of each mining tenement (or, where applicable, each group of tenements)?</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87700" w:rsidRPr="00835256" w:rsidRDefault="00E87700" w:rsidP="00A91BE3">
            <w:pPr>
              <w:pStyle w:val="boxstyle"/>
              <w:jc w:val="left"/>
              <w:rPr>
                <w:rFonts w:ascii="Arial Narrow" w:hAnsi="Arial Narrow"/>
              </w:rPr>
            </w:pPr>
          </w:p>
        </w:tc>
      </w:tr>
      <w:tr w:rsidR="00E87700" w:rsidRPr="00835256" w:rsidTr="0072155E">
        <w:trPr>
          <w:cantSplit/>
        </w:trPr>
        <w:tc>
          <w:tcPr>
            <w:tcW w:w="284" w:type="dxa"/>
            <w:tcBorders>
              <w:top w:val="nil"/>
              <w:left w:val="nil"/>
              <w:bottom w:val="nil"/>
              <w:right w:val="nil"/>
            </w:tcBorders>
          </w:tcPr>
          <w:p w:rsidR="00E87700" w:rsidRPr="00835256" w:rsidRDefault="00E87700" w:rsidP="00A91BE3">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E87700" w:rsidRPr="00835256" w:rsidRDefault="00E87700" w:rsidP="00A91BE3">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E87700" w:rsidRPr="00835256" w:rsidRDefault="00E87700" w:rsidP="00A91BE3">
            <w:pPr>
              <w:ind w:left="0" w:firstLine="0"/>
              <w:jc w:val="left"/>
              <w:rPr>
                <w:rFonts w:ascii="Arial Narrow" w:hAnsi="Arial Narrow"/>
                <w:sz w:val="20"/>
              </w:rPr>
            </w:pPr>
          </w:p>
        </w:tc>
      </w:tr>
      <w:tr w:rsidR="00E87700" w:rsidRPr="00835256" w:rsidTr="0072155E">
        <w:trPr>
          <w:cantSplit/>
        </w:trPr>
        <w:tc>
          <w:tcPr>
            <w:tcW w:w="284" w:type="dxa"/>
            <w:tcBorders>
              <w:top w:val="nil"/>
              <w:left w:val="nil"/>
              <w:bottom w:val="nil"/>
              <w:right w:val="nil"/>
            </w:tcBorders>
          </w:tcPr>
          <w:p w:rsidR="00E87700" w:rsidRPr="00835256" w:rsidRDefault="00E87700" w:rsidP="00835256">
            <w:pPr>
              <w:pStyle w:val="boxstyle"/>
              <w:keepNext/>
              <w:numPr>
                <w:ilvl w:val="0"/>
                <w:numId w:val="15"/>
              </w:numPr>
              <w:tabs>
                <w:tab w:val="left" w:pos="150"/>
              </w:tabs>
              <w:ind w:left="0" w:firstLine="0"/>
              <w:jc w:val="left"/>
              <w:rPr>
                <w:rFonts w:ascii="Arial Narrow" w:hAnsi="Arial Narrow"/>
              </w:rPr>
            </w:pPr>
            <w:bookmarkStart w:id="5" w:name="_Ref376438563"/>
          </w:p>
        </w:tc>
        <w:bookmarkEnd w:id="5"/>
        <w:tc>
          <w:tcPr>
            <w:tcW w:w="5670" w:type="dxa"/>
            <w:tcBorders>
              <w:top w:val="nil"/>
              <w:left w:val="nil"/>
              <w:bottom w:val="nil"/>
            </w:tcBorders>
            <w:tcMar>
              <w:right w:w="85" w:type="dxa"/>
            </w:tcMar>
          </w:tcPr>
          <w:p w:rsidR="00E87700" w:rsidRPr="00835256" w:rsidRDefault="009D2BF0" w:rsidP="006B7202">
            <w:pPr>
              <w:keepNext/>
              <w:overflowPunct/>
              <w:autoSpaceDE/>
              <w:autoSpaceDN/>
              <w:adjustRightInd/>
              <w:spacing w:after="100"/>
              <w:ind w:left="0" w:firstLine="0"/>
              <w:jc w:val="left"/>
              <w:textAlignment w:val="auto"/>
              <w:rPr>
                <w:rFonts w:ascii="Arial Narrow" w:hAnsi="Arial Narrow"/>
                <w:color w:val="000000"/>
                <w:sz w:val="20"/>
                <w:lang w:val="en-AU"/>
              </w:rPr>
            </w:pPr>
            <w:r>
              <w:rPr>
                <w:rFonts w:ascii="Arial Narrow" w:hAnsi="Arial Narrow"/>
                <w:color w:val="000000"/>
                <w:sz w:val="20"/>
                <w:lang w:val="en-AU"/>
              </w:rPr>
              <w:t>W</w:t>
            </w:r>
            <w:r w:rsidRPr="007E27FE">
              <w:rPr>
                <w:rFonts w:ascii="Arial Narrow" w:hAnsi="Arial Narrow"/>
                <w:color w:val="000000"/>
                <w:sz w:val="20"/>
                <w:lang w:val="en-AU"/>
              </w:rPr>
              <w:t xml:space="preserve">ithin </w:t>
            </w:r>
            <w:r>
              <w:rPr>
                <w:rFonts w:ascii="Arial Narrow" w:hAnsi="Arial Narrow"/>
                <w:color w:val="000000"/>
                <w:sz w:val="20"/>
                <w:lang w:val="en-AU"/>
              </w:rPr>
              <w:t xml:space="preserve">the </w:t>
            </w:r>
            <w:r w:rsidRPr="007E27FE">
              <w:rPr>
                <w:rFonts w:ascii="Arial Narrow" w:hAnsi="Arial Narrow"/>
                <w:color w:val="000000"/>
                <w:sz w:val="20"/>
                <w:lang w:val="en-AU"/>
              </w:rPr>
              <w:t xml:space="preserve">2 years </w:t>
            </w:r>
            <w:r>
              <w:rPr>
                <w:rFonts w:ascii="Arial Narrow" w:hAnsi="Arial Narrow"/>
                <w:color w:val="000000"/>
                <w:sz w:val="20"/>
                <w:lang w:val="en-AU"/>
              </w:rPr>
              <w:t>preceding</w:t>
            </w:r>
            <w:r w:rsidRPr="007E27FE">
              <w:rPr>
                <w:rFonts w:ascii="Arial Narrow" w:hAnsi="Arial Narrow"/>
                <w:color w:val="000000"/>
                <w:sz w:val="20"/>
                <w:lang w:val="en-AU"/>
              </w:rPr>
              <w:t xml:space="preserve"> the date of the entity’s application for admission to the official list</w:t>
            </w:r>
            <w:r>
              <w:rPr>
                <w:rFonts w:ascii="Arial Narrow" w:hAnsi="Arial Narrow"/>
                <w:color w:val="000000"/>
                <w:sz w:val="20"/>
                <w:lang w:val="en-AU"/>
              </w:rPr>
              <w:t>,</w:t>
            </w:r>
            <w:r w:rsidRPr="00835256">
              <w:rPr>
                <w:rFonts w:ascii="Arial Narrow" w:hAnsi="Arial Narrow"/>
                <w:color w:val="000000"/>
                <w:sz w:val="20"/>
                <w:lang w:val="en-AU"/>
              </w:rPr>
              <w:t xml:space="preserve"> </w:t>
            </w:r>
            <w:r>
              <w:rPr>
                <w:rFonts w:ascii="Arial Narrow" w:hAnsi="Arial Narrow"/>
                <w:color w:val="000000"/>
                <w:sz w:val="20"/>
                <w:lang w:val="en-AU"/>
              </w:rPr>
              <w:t>h</w:t>
            </w:r>
            <w:r w:rsidR="00E87700" w:rsidRPr="00835256">
              <w:rPr>
                <w:rFonts w:ascii="Arial Narrow" w:hAnsi="Arial Narrow"/>
                <w:color w:val="000000"/>
                <w:sz w:val="20"/>
                <w:lang w:val="en-AU"/>
              </w:rPr>
              <w:t>as the entity acquired, or entered into an agreement to acquire, an interest in a mining exploration area or similar mining tenement from any person?</w:t>
            </w:r>
          </w:p>
        </w:tc>
        <w:tc>
          <w:tcPr>
            <w:tcW w:w="3118" w:type="dxa"/>
            <w:tcBorders>
              <w:bottom w:val="single" w:sz="6" w:space="0" w:color="auto"/>
            </w:tcBorders>
            <w:tcMar>
              <w:left w:w="85" w:type="dxa"/>
              <w:right w:w="85" w:type="dxa"/>
            </w:tcMar>
          </w:tcPr>
          <w:p w:rsidR="00E87700" w:rsidRPr="00835256" w:rsidRDefault="00E87700" w:rsidP="00835256">
            <w:pPr>
              <w:pStyle w:val="boxstyle"/>
              <w:keepNext/>
              <w:jc w:val="left"/>
              <w:rPr>
                <w:rFonts w:ascii="Arial Narrow" w:hAnsi="Arial Narrow"/>
              </w:rPr>
            </w:pPr>
          </w:p>
        </w:tc>
      </w:tr>
      <w:tr w:rsidR="00E87700" w:rsidRPr="00835256" w:rsidTr="0072155E">
        <w:trPr>
          <w:cantSplit/>
        </w:trPr>
        <w:tc>
          <w:tcPr>
            <w:tcW w:w="284" w:type="dxa"/>
            <w:tcBorders>
              <w:top w:val="nil"/>
              <w:left w:val="nil"/>
              <w:bottom w:val="nil"/>
              <w:right w:val="nil"/>
            </w:tcBorders>
          </w:tcPr>
          <w:p w:rsidR="00E87700" w:rsidRPr="00835256" w:rsidRDefault="00E87700" w:rsidP="00A91BE3">
            <w:pPr>
              <w:pStyle w:val="boxstyle"/>
              <w:tabs>
                <w:tab w:val="left" w:pos="150"/>
              </w:tabs>
              <w:ind w:left="360"/>
              <w:jc w:val="left"/>
              <w:rPr>
                <w:rFonts w:ascii="Arial Narrow" w:hAnsi="Arial Narrow"/>
              </w:rPr>
            </w:pPr>
          </w:p>
        </w:tc>
        <w:tc>
          <w:tcPr>
            <w:tcW w:w="5670" w:type="dxa"/>
            <w:tcBorders>
              <w:top w:val="nil"/>
              <w:left w:val="nil"/>
              <w:bottom w:val="nil"/>
              <w:right w:val="single" w:sz="6" w:space="0" w:color="auto"/>
            </w:tcBorders>
            <w:tcMar>
              <w:right w:w="85" w:type="dxa"/>
            </w:tcMar>
          </w:tcPr>
          <w:p w:rsidR="00E87700" w:rsidRPr="00835256" w:rsidRDefault="00E87700" w:rsidP="00F41985">
            <w:pPr>
              <w:overflowPunct/>
              <w:autoSpaceDE/>
              <w:autoSpaceDN/>
              <w:adjustRightInd/>
              <w:spacing w:after="60"/>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If so, where in the Offer Document does it disclose:</w:t>
            </w:r>
          </w:p>
          <w:p w:rsidR="00E87700" w:rsidRPr="00835256" w:rsidRDefault="00E87700" w:rsidP="00F41985">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the date of the acquisition or agreement;</w:t>
            </w:r>
          </w:p>
          <w:p w:rsidR="00E87700" w:rsidRPr="00835256" w:rsidRDefault="00E87700" w:rsidP="00F41985">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full details of the tenement, including any title particulars;</w:t>
            </w:r>
          </w:p>
          <w:p w:rsidR="00E87700" w:rsidRPr="00835256" w:rsidRDefault="00E87700" w:rsidP="00F41985">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the name of the vendor;</w:t>
            </w:r>
          </w:p>
          <w:p w:rsidR="00E87700" w:rsidRPr="00835256" w:rsidRDefault="00E87700" w:rsidP="00F41985">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if the vendor was not the beneficial owner of the tenement at the date of the acquisition or agreement, the name of the beneficial owner;</w:t>
            </w:r>
          </w:p>
          <w:p w:rsidR="00E87700" w:rsidRPr="00835256" w:rsidRDefault="00E87700" w:rsidP="00F41985">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details of any relationship between the vendor (or, if the vendor was not the beneficial owner of the tenement at the date of the acquisition or agreement, between the beneficial owner(s)) and the entity or any related party or promoter of</w:t>
            </w:r>
            <w:r w:rsidR="009902A6">
              <w:rPr>
                <w:rFonts w:ascii="Arial Narrow" w:hAnsi="Arial Narrow"/>
                <w:color w:val="000000"/>
                <w:sz w:val="20"/>
                <w:lang w:val="en-AU"/>
              </w:rPr>
              <w:t>, or adviser to,</w:t>
            </w:r>
            <w:r w:rsidRPr="00835256">
              <w:rPr>
                <w:rFonts w:ascii="Arial Narrow" w:hAnsi="Arial Narrow"/>
                <w:color w:val="000000"/>
                <w:sz w:val="20"/>
                <w:lang w:val="en-AU"/>
              </w:rPr>
              <w:t xml:space="preserve"> the entity; and</w:t>
            </w:r>
          </w:p>
          <w:p w:rsidR="00E87700" w:rsidRPr="00F41985" w:rsidRDefault="00E87700" w:rsidP="00F41985">
            <w:pPr>
              <w:numPr>
                <w:ilvl w:val="0"/>
                <w:numId w:val="21"/>
              </w:numPr>
              <w:overflowPunct/>
              <w:autoSpaceDE/>
              <w:autoSpaceDN/>
              <w:adjustRightInd/>
              <w:spacing w:after="60"/>
              <w:ind w:left="284" w:hanging="284"/>
              <w:jc w:val="left"/>
              <w:textAlignment w:val="auto"/>
              <w:rPr>
                <w:rFonts w:ascii="Arial Narrow" w:hAnsi="Arial Narrow" w:cs="Arial"/>
                <w:sz w:val="20"/>
                <w:lang w:val="en-US"/>
              </w:rPr>
            </w:pPr>
            <w:r w:rsidRPr="00835256">
              <w:rPr>
                <w:rFonts w:ascii="Arial Narrow" w:hAnsi="Arial Narrow"/>
                <w:color w:val="000000"/>
                <w:sz w:val="20"/>
                <w:lang w:val="en-AU"/>
              </w:rPr>
              <w:t>details of the purchase price paid or payable and all other consideration (whether legally enforceable or not) passing directly or indirectly to the vendor</w:t>
            </w:r>
            <w:r w:rsidR="00F41985">
              <w:rPr>
                <w:rFonts w:ascii="Arial Narrow" w:hAnsi="Arial Narrow"/>
                <w:color w:val="000000"/>
                <w:sz w:val="20"/>
                <w:lang w:val="en-AU"/>
              </w:rPr>
              <w:t>,</w:t>
            </w:r>
          </w:p>
          <w:p w:rsidR="00F41985" w:rsidRPr="00835256" w:rsidRDefault="00F41985" w:rsidP="00F41985">
            <w:pPr>
              <w:overflowPunct/>
              <w:autoSpaceDE/>
              <w:autoSpaceDN/>
              <w:adjustRightInd/>
              <w:ind w:left="0" w:firstLine="0"/>
              <w:jc w:val="left"/>
              <w:textAlignment w:val="auto"/>
              <w:rPr>
                <w:rFonts w:ascii="Arial Narrow" w:hAnsi="Arial Narrow" w:cs="Arial"/>
                <w:sz w:val="20"/>
                <w:lang w:val="en-US"/>
              </w:rPr>
            </w:pPr>
            <w:r w:rsidRPr="00F41985">
              <w:rPr>
                <w:rFonts w:ascii="Arial Narrow" w:hAnsi="Arial Narrow"/>
                <w:color w:val="000000"/>
                <w:sz w:val="20"/>
                <w:lang w:val="en-AU"/>
              </w:rPr>
              <w:t xml:space="preserve">and, if the vendor acquired the </w:t>
            </w:r>
            <w:r w:rsidRPr="00835256">
              <w:rPr>
                <w:rFonts w:ascii="Arial Narrow" w:hAnsi="Arial Narrow"/>
                <w:color w:val="000000"/>
                <w:sz w:val="20"/>
                <w:lang w:val="en-AU"/>
              </w:rPr>
              <w:t xml:space="preserve">tenement </w:t>
            </w:r>
            <w:r w:rsidRPr="00F41985">
              <w:rPr>
                <w:rFonts w:ascii="Arial Narrow" w:hAnsi="Arial Narrow"/>
                <w:color w:val="000000"/>
                <w:sz w:val="20"/>
                <w:lang w:val="en-AU"/>
              </w:rPr>
              <w:t xml:space="preserve">from a third party within that 2 year period, the equivalent details to those set out above in relation to </w:t>
            </w:r>
            <w:r w:rsidRPr="00777039">
              <w:rPr>
                <w:rFonts w:ascii="Arial Narrow" w:hAnsi="Arial Narrow"/>
                <w:color w:val="000000"/>
                <w:sz w:val="20"/>
                <w:lang w:val="en-AU"/>
              </w:rPr>
              <w:t xml:space="preserve">the arrangements between the vendor and </w:t>
            </w:r>
            <w:r w:rsidRPr="00D31226">
              <w:rPr>
                <w:rFonts w:ascii="Arial Narrow" w:hAnsi="Arial Narrow"/>
                <w:color w:val="000000"/>
                <w:sz w:val="20"/>
                <w:lang w:val="en-AU"/>
              </w:rPr>
              <w:t>th</w:t>
            </w:r>
            <w:r w:rsidRPr="00F41985">
              <w:rPr>
                <w:rFonts w:ascii="Arial Narrow" w:hAnsi="Arial Narrow"/>
                <w:color w:val="000000"/>
                <w:sz w:val="20"/>
                <w:lang w:val="en-AU"/>
              </w:rPr>
              <w:t>e</w:t>
            </w:r>
            <w:r w:rsidRPr="00D31226">
              <w:rPr>
                <w:rFonts w:ascii="Arial Narrow" w:hAnsi="Arial Narrow"/>
                <w:color w:val="000000"/>
                <w:sz w:val="20"/>
                <w:lang w:val="en-AU"/>
              </w:rPr>
              <w:t xml:space="preserve"> third party</w:t>
            </w:r>
            <w:r>
              <w:rPr>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87700" w:rsidRPr="00835256" w:rsidRDefault="00E87700" w:rsidP="00A91BE3">
            <w:pPr>
              <w:pStyle w:val="boxstyle"/>
              <w:jc w:val="left"/>
              <w:rPr>
                <w:rFonts w:ascii="Arial Narrow" w:hAnsi="Arial Narrow"/>
              </w:rPr>
            </w:pPr>
          </w:p>
        </w:tc>
      </w:tr>
      <w:tr w:rsidR="00E87700" w:rsidRPr="00835256" w:rsidTr="0072155E">
        <w:trPr>
          <w:cantSplit/>
        </w:trPr>
        <w:tc>
          <w:tcPr>
            <w:tcW w:w="284" w:type="dxa"/>
            <w:tcBorders>
              <w:top w:val="nil"/>
              <w:left w:val="nil"/>
              <w:bottom w:val="nil"/>
              <w:right w:val="nil"/>
            </w:tcBorders>
          </w:tcPr>
          <w:p w:rsidR="00E87700" w:rsidRPr="00835256" w:rsidRDefault="00E87700" w:rsidP="00A91BE3">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E87700" w:rsidRPr="00835256" w:rsidRDefault="00E87700" w:rsidP="00A91BE3">
            <w:pPr>
              <w:ind w:left="0" w:firstLine="0"/>
              <w:jc w:val="left"/>
              <w:rPr>
                <w:rFonts w:ascii="Arial Narrow" w:hAnsi="Arial Narrow"/>
                <w:sz w:val="20"/>
              </w:rPr>
            </w:pPr>
          </w:p>
        </w:tc>
        <w:tc>
          <w:tcPr>
            <w:tcW w:w="3118" w:type="dxa"/>
            <w:tcBorders>
              <w:top w:val="single" w:sz="6" w:space="0" w:color="auto"/>
              <w:left w:val="nil"/>
              <w:right w:val="nil"/>
            </w:tcBorders>
            <w:tcMar>
              <w:left w:w="85" w:type="dxa"/>
              <w:right w:w="85" w:type="dxa"/>
            </w:tcMar>
          </w:tcPr>
          <w:p w:rsidR="00E87700" w:rsidRPr="00835256" w:rsidRDefault="00E87700" w:rsidP="00A91BE3">
            <w:pPr>
              <w:ind w:left="0" w:firstLine="0"/>
              <w:jc w:val="left"/>
              <w:rPr>
                <w:rFonts w:ascii="Arial Narrow" w:hAnsi="Arial Narrow"/>
                <w:sz w:val="20"/>
              </w:rPr>
            </w:pPr>
          </w:p>
        </w:tc>
      </w:tr>
      <w:tr w:rsidR="008F02C8" w:rsidRPr="00AF4322" w:rsidTr="0072155E">
        <w:trPr>
          <w:cantSplit/>
        </w:trPr>
        <w:tc>
          <w:tcPr>
            <w:tcW w:w="284" w:type="dxa"/>
            <w:tcBorders>
              <w:top w:val="nil"/>
              <w:left w:val="nil"/>
              <w:bottom w:val="nil"/>
              <w:right w:val="nil"/>
            </w:tcBorders>
          </w:tcPr>
          <w:p w:rsidR="008F02C8" w:rsidRPr="009F7D5F" w:rsidRDefault="008F02C8" w:rsidP="009F7D5F">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9D2BF0" w:rsidRDefault="009D2BF0" w:rsidP="00A6701D">
            <w:pPr>
              <w:pStyle w:val="boxstyle"/>
              <w:spacing w:after="60"/>
              <w:jc w:val="left"/>
              <w:rPr>
                <w:rFonts w:ascii="Arial Narrow" w:hAnsi="Arial Narrow"/>
              </w:rPr>
            </w:pPr>
            <w:r w:rsidRPr="00835256">
              <w:rPr>
                <w:rFonts w:ascii="Arial Narrow" w:hAnsi="Arial Narrow"/>
              </w:rPr>
              <w:t xml:space="preserve">Is </w:t>
            </w:r>
            <w:r>
              <w:rPr>
                <w:rFonts w:ascii="Arial Narrow" w:hAnsi="Arial Narrow"/>
              </w:rPr>
              <w:t xml:space="preserve">the vendor </w:t>
            </w:r>
            <w:r w:rsidR="00742870">
              <w:rPr>
                <w:rFonts w:ascii="Arial Narrow" w:hAnsi="Arial Narrow"/>
              </w:rPr>
              <w:t xml:space="preserve">(or, </w:t>
            </w:r>
            <w:r w:rsidR="00742870" w:rsidRPr="00835256">
              <w:rPr>
                <w:rFonts w:ascii="Arial Narrow" w:hAnsi="Arial Narrow"/>
              </w:rPr>
              <w:t xml:space="preserve">if the vendor was not the beneficial owner of the tenement at the date of the acquisition or agreement, </w:t>
            </w:r>
            <w:r w:rsidR="0050209D">
              <w:rPr>
                <w:rFonts w:ascii="Arial Narrow" w:hAnsi="Arial Narrow"/>
              </w:rPr>
              <w:t xml:space="preserve">are </w:t>
            </w:r>
            <w:r w:rsidR="009F7D5F">
              <w:rPr>
                <w:rFonts w:ascii="Arial Narrow" w:hAnsi="Arial Narrow"/>
              </w:rPr>
              <w:t xml:space="preserve">any of </w:t>
            </w:r>
            <w:r w:rsidR="00742870" w:rsidRPr="00835256">
              <w:rPr>
                <w:rFonts w:ascii="Arial Narrow" w:hAnsi="Arial Narrow"/>
              </w:rPr>
              <w:t>the beneficial owner</w:t>
            </w:r>
            <w:r w:rsidR="009F7D5F">
              <w:rPr>
                <w:rFonts w:ascii="Arial Narrow" w:hAnsi="Arial Narrow"/>
              </w:rPr>
              <w:t>(s)</w:t>
            </w:r>
            <w:r w:rsidR="00742870">
              <w:rPr>
                <w:rFonts w:ascii="Arial Narrow" w:hAnsi="Arial Narrow"/>
              </w:rPr>
              <w:t>)</w:t>
            </w:r>
            <w:r w:rsidR="00742870" w:rsidRPr="007E27FE">
              <w:rPr>
                <w:rFonts w:ascii="Arial Narrow" w:hAnsi="Arial Narrow"/>
              </w:rPr>
              <w:t xml:space="preserve"> </w:t>
            </w:r>
            <w:r w:rsidRPr="007E27FE">
              <w:rPr>
                <w:rFonts w:ascii="Arial Narrow" w:hAnsi="Arial Narrow"/>
              </w:rPr>
              <w:t>a related party or promoter of the entity</w:t>
            </w:r>
            <w:r w:rsidR="009902A6" w:rsidRPr="009902A6">
              <w:rPr>
                <w:rFonts w:ascii="Arial Narrow" w:hAnsi="Arial Narrow"/>
              </w:rPr>
              <w:t xml:space="preserve"> or an associate of a related party or promoter of the entity</w:t>
            </w:r>
            <w:r w:rsidRPr="007E27FE">
              <w:rPr>
                <w:rFonts w:ascii="Arial Narrow" w:hAnsi="Arial Narrow"/>
              </w:rPr>
              <w:t>?</w:t>
            </w:r>
          </w:p>
          <w:p w:rsidR="008F02C8" w:rsidRPr="007177D9" w:rsidRDefault="009D2BF0" w:rsidP="00122C1C">
            <w:pPr>
              <w:pStyle w:val="boxstyle"/>
              <w:jc w:val="left"/>
              <w:rPr>
                <w:rFonts w:ascii="Arial Narrow" w:hAnsi="Arial Narrow"/>
              </w:rPr>
            </w:pPr>
            <w:r>
              <w:rPr>
                <w:rFonts w:ascii="Arial Narrow" w:hAnsi="Arial Narrow"/>
              </w:rPr>
              <w:t>If so, p</w:t>
            </w:r>
            <w:r w:rsidR="008F02C8" w:rsidRPr="00835256">
              <w:rPr>
                <w:rFonts w:ascii="Arial Narrow" w:hAnsi="Arial Narrow"/>
              </w:rPr>
              <w:t>lease enter “Confirmed” in the column to the right t</w:t>
            </w:r>
            <w:r w:rsidR="008F02C8">
              <w:rPr>
                <w:rFonts w:ascii="Arial Narrow" w:hAnsi="Arial Narrow"/>
              </w:rPr>
              <w:t xml:space="preserve">o indicate </w:t>
            </w:r>
            <w:r w:rsidR="008F02C8" w:rsidRPr="007177D9">
              <w:rPr>
                <w:rFonts w:ascii="Arial Narrow" w:hAnsi="Arial Narrow"/>
              </w:rPr>
              <w:t xml:space="preserve">that the </w:t>
            </w:r>
            <w:r w:rsidR="008F02C8">
              <w:rPr>
                <w:rFonts w:ascii="Arial Narrow" w:hAnsi="Arial Narrow"/>
              </w:rPr>
              <w:t xml:space="preserve">consideration paid by the </w:t>
            </w:r>
            <w:r w:rsidR="008F02C8" w:rsidRPr="007177D9">
              <w:rPr>
                <w:rFonts w:ascii="Arial Narrow" w:hAnsi="Arial Narrow"/>
              </w:rPr>
              <w:t xml:space="preserve">entity </w:t>
            </w:r>
            <w:r w:rsidR="008F02C8">
              <w:rPr>
                <w:rFonts w:ascii="Arial Narrow" w:hAnsi="Arial Narrow"/>
              </w:rPr>
              <w:t xml:space="preserve">for the </w:t>
            </w:r>
            <w:r>
              <w:rPr>
                <w:rFonts w:ascii="Arial Narrow" w:hAnsi="Arial Narrow"/>
              </w:rPr>
              <w:t>tenement</w:t>
            </w:r>
            <w:r w:rsidR="008F02C8">
              <w:rPr>
                <w:rFonts w:ascii="Arial Narrow" w:hAnsi="Arial Narrow"/>
              </w:rPr>
              <w:t xml:space="preserve"> was solely restricted securities, save to the extent it involved the reimbursement of expenditure incurred in developing the </w:t>
            </w:r>
            <w:r w:rsidR="009F7D5F">
              <w:rPr>
                <w:rFonts w:ascii="Arial Narrow" w:hAnsi="Arial Narrow"/>
              </w:rPr>
              <w:t>tenement</w:t>
            </w:r>
            <w:r w:rsidRPr="00710666">
              <w:rPr>
                <w:rStyle w:val="FootnoteReference"/>
                <w:rFonts w:ascii="Arial Narrow" w:hAnsi="Arial Narrow"/>
                <w:color w:val="auto"/>
                <w:position w:val="0"/>
                <w:sz w:val="20"/>
                <w:vertAlign w:val="superscript"/>
                <w:lang w:val="en-GB"/>
              </w:rPr>
              <w:footnoteReference w:id="20"/>
            </w:r>
            <w:r w:rsidR="008F02C8">
              <w:rPr>
                <w:rFonts w:ascii="Arial Narrow" w:hAnsi="Arial Narrow"/>
              </w:rPr>
              <w:t xml:space="preserve"> or the entity was not required to apply the restrictions in Appendix 9B under Listing Rule 9.1.</w:t>
            </w:r>
            <w:r w:rsidR="00447144">
              <w:rPr>
                <w:rFonts w:ascii="Arial Narrow" w:hAnsi="Arial Narrow"/>
              </w:rPr>
              <w:t>3 (Listing Rule 1.1 Condition 11</w:t>
            </w:r>
            <w:r w:rsidR="008F02C8">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8F02C8" w:rsidRPr="00AF4322" w:rsidRDefault="008F02C8" w:rsidP="00957865">
            <w:pPr>
              <w:pStyle w:val="boxstyle"/>
              <w:jc w:val="left"/>
              <w:rPr>
                <w:rFonts w:ascii="Arial Narrow" w:hAnsi="Arial Narrow"/>
              </w:rPr>
            </w:pPr>
          </w:p>
        </w:tc>
      </w:tr>
      <w:tr w:rsidR="00576FB1" w:rsidRPr="00835256" w:rsidTr="0072155E">
        <w:trPr>
          <w:cantSplit/>
        </w:trPr>
        <w:tc>
          <w:tcPr>
            <w:tcW w:w="284" w:type="dxa"/>
            <w:tcBorders>
              <w:top w:val="nil"/>
              <w:left w:val="nil"/>
              <w:bottom w:val="nil"/>
              <w:right w:val="nil"/>
            </w:tcBorders>
          </w:tcPr>
          <w:p w:rsidR="00576FB1" w:rsidRPr="00835256" w:rsidRDefault="00576FB1" w:rsidP="00CE2A5F">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576FB1" w:rsidRPr="00835256" w:rsidRDefault="00576FB1" w:rsidP="00CE2A5F">
            <w:pPr>
              <w:ind w:left="0" w:firstLine="0"/>
              <w:jc w:val="left"/>
              <w:rPr>
                <w:rFonts w:ascii="Arial Narrow" w:hAnsi="Arial Narrow"/>
                <w:sz w:val="20"/>
              </w:rPr>
            </w:pPr>
          </w:p>
        </w:tc>
        <w:tc>
          <w:tcPr>
            <w:tcW w:w="3118" w:type="dxa"/>
            <w:tcBorders>
              <w:top w:val="single" w:sz="4" w:space="0" w:color="auto"/>
              <w:left w:val="nil"/>
              <w:right w:val="nil"/>
            </w:tcBorders>
            <w:tcMar>
              <w:left w:w="85" w:type="dxa"/>
              <w:right w:w="85" w:type="dxa"/>
            </w:tcMar>
          </w:tcPr>
          <w:p w:rsidR="00576FB1" w:rsidRPr="00835256" w:rsidRDefault="00576FB1" w:rsidP="00CE2A5F">
            <w:pPr>
              <w:ind w:left="0" w:firstLine="0"/>
              <w:jc w:val="left"/>
              <w:rPr>
                <w:rFonts w:ascii="Arial Narrow" w:hAnsi="Arial Narrow"/>
                <w:sz w:val="20"/>
              </w:rPr>
            </w:pPr>
          </w:p>
        </w:tc>
      </w:tr>
      <w:tr w:rsidR="009F7D5F" w:rsidRPr="00835256" w:rsidTr="0072155E">
        <w:trPr>
          <w:cantSplit/>
        </w:trPr>
        <w:tc>
          <w:tcPr>
            <w:tcW w:w="284" w:type="dxa"/>
            <w:tcBorders>
              <w:top w:val="nil"/>
              <w:left w:val="nil"/>
              <w:bottom w:val="nil"/>
              <w:right w:val="nil"/>
            </w:tcBorders>
          </w:tcPr>
          <w:p w:rsidR="009F7D5F" w:rsidRPr="00835256" w:rsidRDefault="009F7D5F" w:rsidP="0010774E">
            <w:pPr>
              <w:pStyle w:val="boxstyle"/>
              <w:tabs>
                <w:tab w:val="left" w:pos="150"/>
              </w:tabs>
              <w:ind w:left="360"/>
              <w:jc w:val="left"/>
              <w:rPr>
                <w:rFonts w:ascii="Arial Narrow" w:hAnsi="Arial Narrow"/>
              </w:rPr>
            </w:pPr>
          </w:p>
        </w:tc>
        <w:tc>
          <w:tcPr>
            <w:tcW w:w="5670" w:type="dxa"/>
            <w:tcBorders>
              <w:top w:val="nil"/>
              <w:left w:val="nil"/>
              <w:bottom w:val="nil"/>
              <w:right w:val="nil"/>
            </w:tcBorders>
            <w:tcMar>
              <w:right w:w="85" w:type="dxa"/>
            </w:tcMar>
          </w:tcPr>
          <w:p w:rsidR="009F7D5F" w:rsidRPr="00835256" w:rsidRDefault="009F7D5F" w:rsidP="0010774E">
            <w:pPr>
              <w:overflowPunct/>
              <w:autoSpaceDE/>
              <w:autoSpaceDN/>
              <w:adjustRightInd/>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Please also provide a copy of the agreement(s) relating to the acquisition entered into by the entity and any expert’s report or valuation obtained by the entity in relation to the acquisition</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9F7D5F" w:rsidRPr="00835256" w:rsidRDefault="009F7D5F" w:rsidP="0010774E">
            <w:pPr>
              <w:pStyle w:val="boxstyle"/>
              <w:jc w:val="left"/>
              <w:rPr>
                <w:rFonts w:ascii="Arial Narrow" w:hAnsi="Arial Narrow"/>
              </w:rPr>
            </w:pPr>
          </w:p>
        </w:tc>
      </w:tr>
      <w:tr w:rsidR="009F7D5F" w:rsidRPr="00835256" w:rsidTr="0072155E">
        <w:trPr>
          <w:cantSplit/>
        </w:trPr>
        <w:tc>
          <w:tcPr>
            <w:tcW w:w="284" w:type="dxa"/>
            <w:tcBorders>
              <w:top w:val="nil"/>
              <w:left w:val="nil"/>
              <w:bottom w:val="nil"/>
              <w:right w:val="nil"/>
            </w:tcBorders>
          </w:tcPr>
          <w:p w:rsidR="009F7D5F" w:rsidRPr="00835256" w:rsidRDefault="009F7D5F" w:rsidP="0010774E">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9F7D5F" w:rsidRPr="00835256" w:rsidRDefault="009F7D5F" w:rsidP="0010774E">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9F7D5F" w:rsidRPr="00835256" w:rsidRDefault="009F7D5F" w:rsidP="0010774E">
            <w:pPr>
              <w:ind w:left="0" w:firstLine="0"/>
              <w:jc w:val="left"/>
              <w:rPr>
                <w:rFonts w:ascii="Arial Narrow" w:hAnsi="Arial Narrow"/>
                <w:sz w:val="20"/>
              </w:rPr>
            </w:pPr>
          </w:p>
        </w:tc>
      </w:tr>
      <w:tr w:rsidR="00576FB1" w:rsidRPr="00AF4322" w:rsidTr="0072155E">
        <w:trPr>
          <w:cantSplit/>
        </w:trPr>
        <w:tc>
          <w:tcPr>
            <w:tcW w:w="284" w:type="dxa"/>
            <w:tcBorders>
              <w:top w:val="nil"/>
              <w:left w:val="nil"/>
              <w:bottom w:val="nil"/>
              <w:right w:val="nil"/>
            </w:tcBorders>
          </w:tcPr>
          <w:p w:rsidR="00576FB1" w:rsidRPr="00AF4322" w:rsidRDefault="00576FB1" w:rsidP="00CE2A5F">
            <w:pPr>
              <w:pStyle w:val="boxstyle"/>
              <w:keepNext/>
              <w:numPr>
                <w:ilvl w:val="0"/>
                <w:numId w:val="15"/>
              </w:numPr>
              <w:tabs>
                <w:tab w:val="left" w:pos="150"/>
              </w:tabs>
              <w:ind w:left="0" w:firstLine="0"/>
              <w:jc w:val="left"/>
              <w:rPr>
                <w:rFonts w:ascii="Arial Narrow" w:hAnsi="Arial Narrow"/>
              </w:rPr>
            </w:pPr>
          </w:p>
        </w:tc>
        <w:tc>
          <w:tcPr>
            <w:tcW w:w="5670" w:type="dxa"/>
            <w:tcBorders>
              <w:top w:val="nil"/>
              <w:left w:val="nil"/>
              <w:bottom w:val="nil"/>
            </w:tcBorders>
            <w:tcMar>
              <w:right w:w="85" w:type="dxa"/>
            </w:tcMar>
          </w:tcPr>
          <w:p w:rsidR="00576FB1" w:rsidRDefault="00576FB1" w:rsidP="006B7202">
            <w:pPr>
              <w:keepNext/>
              <w:spacing w:after="100"/>
              <w:ind w:left="0" w:firstLine="0"/>
              <w:rPr>
                <w:rFonts w:ascii="Arial Narrow" w:hAnsi="Arial Narrow"/>
                <w:color w:val="000000"/>
                <w:sz w:val="20"/>
                <w:lang w:val="en-AU"/>
              </w:rPr>
            </w:pPr>
            <w:r w:rsidRPr="007203B9">
              <w:rPr>
                <w:rFonts w:ascii="Arial Narrow" w:hAnsi="Arial Narrow"/>
                <w:color w:val="000000"/>
                <w:sz w:val="20"/>
                <w:lang w:val="en-AU"/>
              </w:rPr>
              <w:t xml:space="preserve">Is the entity or a child entity in a joint venture arrangement to investigate or explore a </w:t>
            </w:r>
            <w:r>
              <w:rPr>
                <w:rFonts w:ascii="Arial Narrow" w:hAnsi="Arial Narrow"/>
                <w:color w:val="000000"/>
                <w:sz w:val="20"/>
                <w:lang w:val="en-AU"/>
              </w:rPr>
              <w:t>mining</w:t>
            </w:r>
            <w:r w:rsidRPr="007203B9">
              <w:rPr>
                <w:rFonts w:ascii="Arial Narrow" w:hAnsi="Arial Narrow"/>
                <w:color w:val="000000"/>
                <w:sz w:val="20"/>
                <w:lang w:val="en-AU"/>
              </w:rPr>
              <w:t xml:space="preserve"> tenement?</w:t>
            </w:r>
          </w:p>
        </w:tc>
        <w:tc>
          <w:tcPr>
            <w:tcW w:w="3118" w:type="dxa"/>
            <w:tcBorders>
              <w:bottom w:val="single" w:sz="4" w:space="0" w:color="auto"/>
            </w:tcBorders>
            <w:tcMar>
              <w:left w:w="85" w:type="dxa"/>
              <w:right w:w="85" w:type="dxa"/>
            </w:tcMar>
          </w:tcPr>
          <w:p w:rsidR="00576FB1" w:rsidRPr="00AF4322" w:rsidRDefault="00576FB1" w:rsidP="00CE2A5F">
            <w:pPr>
              <w:pStyle w:val="boxstyle"/>
              <w:keepNext/>
              <w:jc w:val="left"/>
              <w:rPr>
                <w:rFonts w:ascii="Arial Narrow" w:hAnsi="Arial Narrow"/>
              </w:rPr>
            </w:pPr>
          </w:p>
        </w:tc>
      </w:tr>
      <w:tr w:rsidR="00576FB1" w:rsidRPr="00AF4322" w:rsidTr="0072155E">
        <w:trPr>
          <w:cantSplit/>
        </w:trPr>
        <w:tc>
          <w:tcPr>
            <w:tcW w:w="284" w:type="dxa"/>
            <w:tcBorders>
              <w:top w:val="nil"/>
              <w:left w:val="nil"/>
              <w:bottom w:val="nil"/>
              <w:right w:val="nil"/>
            </w:tcBorders>
          </w:tcPr>
          <w:p w:rsidR="00576FB1" w:rsidRPr="00576FB1" w:rsidRDefault="00576FB1" w:rsidP="00576FB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576FB1" w:rsidRPr="009E2D70" w:rsidRDefault="00576FB1" w:rsidP="00CE2A5F">
            <w:pPr>
              <w:ind w:left="0" w:firstLine="0"/>
              <w:rPr>
                <w:rFonts w:ascii="Arial" w:hAnsi="Arial" w:cs="Arial"/>
                <w:sz w:val="20"/>
                <w:lang w:val="en-US"/>
              </w:rPr>
            </w:pPr>
            <w:r>
              <w:rPr>
                <w:rFonts w:ascii="Arial Narrow" w:hAnsi="Arial Narrow"/>
                <w:color w:val="000000"/>
                <w:sz w:val="20"/>
                <w:lang w:val="en-AU"/>
              </w:rPr>
              <w:t>If so, please provide a copy of</w:t>
            </w:r>
            <w:r w:rsidRPr="001F1409">
              <w:rPr>
                <w:rFonts w:ascii="Arial Narrow" w:hAnsi="Arial Narrow"/>
                <w:color w:val="000000"/>
                <w:sz w:val="20"/>
                <w:lang w:val="en-AU"/>
              </w:rPr>
              <w:t xml:space="preserve"> the joint venture agreement</w:t>
            </w:r>
            <w:r>
              <w:rPr>
                <w:rFonts w:ascii="Arial Narrow" w:hAnsi="Arial Narrow"/>
                <w:color w:val="000000"/>
                <w:sz w:val="20"/>
                <w:lang w:val="en-AU"/>
              </w:rPr>
              <w:br/>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576FB1" w:rsidRPr="00AF4322" w:rsidRDefault="00576FB1" w:rsidP="00CE2A5F">
            <w:pPr>
              <w:pStyle w:val="boxstyle"/>
              <w:jc w:val="left"/>
              <w:rPr>
                <w:rFonts w:ascii="Arial Narrow" w:hAnsi="Arial Narrow"/>
              </w:rPr>
            </w:pPr>
          </w:p>
        </w:tc>
      </w:tr>
      <w:tr w:rsidR="00576FB1" w:rsidRPr="00AF4322" w:rsidTr="0072155E">
        <w:trPr>
          <w:cantSplit/>
        </w:trPr>
        <w:tc>
          <w:tcPr>
            <w:tcW w:w="284" w:type="dxa"/>
            <w:tcBorders>
              <w:top w:val="nil"/>
              <w:left w:val="nil"/>
              <w:bottom w:val="nil"/>
              <w:right w:val="nil"/>
            </w:tcBorders>
          </w:tcPr>
          <w:p w:rsidR="00576FB1" w:rsidRPr="00AF4322" w:rsidRDefault="00576FB1" w:rsidP="00CE2A5F">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576FB1" w:rsidRPr="00AF4322" w:rsidRDefault="00576FB1" w:rsidP="00CE2A5F">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576FB1" w:rsidRPr="00AF4322" w:rsidRDefault="00576FB1" w:rsidP="00CE2A5F">
            <w:pPr>
              <w:ind w:left="0" w:firstLine="0"/>
              <w:jc w:val="left"/>
              <w:rPr>
                <w:rFonts w:ascii="Arial Narrow" w:hAnsi="Arial Narrow"/>
                <w:sz w:val="20"/>
              </w:rPr>
            </w:pPr>
          </w:p>
        </w:tc>
      </w:tr>
      <w:tr w:rsidR="00576FB1" w:rsidRPr="00AF4322" w:rsidTr="0072155E">
        <w:trPr>
          <w:cantSplit/>
        </w:trPr>
        <w:tc>
          <w:tcPr>
            <w:tcW w:w="284" w:type="dxa"/>
            <w:tcBorders>
              <w:top w:val="nil"/>
              <w:left w:val="nil"/>
              <w:bottom w:val="nil"/>
              <w:right w:val="nil"/>
            </w:tcBorders>
          </w:tcPr>
          <w:p w:rsidR="00576FB1" w:rsidRPr="00576FB1" w:rsidRDefault="00576FB1" w:rsidP="00576FB1">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576FB1" w:rsidRPr="009E2D70" w:rsidRDefault="00576FB1" w:rsidP="00122C1C">
            <w:pPr>
              <w:ind w:left="0" w:firstLine="0"/>
              <w:rPr>
                <w:rFonts w:ascii="Arial" w:hAnsi="Arial" w:cs="Arial"/>
                <w:sz w:val="20"/>
                <w:lang w:val="en-US"/>
              </w:rPr>
            </w:pPr>
            <w:r>
              <w:rPr>
                <w:rFonts w:ascii="Arial Narrow" w:hAnsi="Arial Narrow"/>
                <w:color w:val="000000"/>
                <w:sz w:val="20"/>
                <w:lang w:val="en-AU"/>
              </w:rPr>
              <w:t>Where in</w:t>
            </w:r>
            <w:r w:rsidRPr="001F1409">
              <w:rPr>
                <w:rFonts w:ascii="Arial Narrow" w:hAnsi="Arial Narrow"/>
                <w:color w:val="000000"/>
                <w:sz w:val="20"/>
                <w:lang w:val="en-AU"/>
              </w:rPr>
              <w:t xml:space="preserve"> the joint venture agreement </w:t>
            </w:r>
            <w:r>
              <w:rPr>
                <w:rFonts w:ascii="Arial Narrow" w:hAnsi="Arial Narrow"/>
                <w:color w:val="000000"/>
                <w:sz w:val="20"/>
                <w:lang w:val="en-AU"/>
              </w:rPr>
              <w:t xml:space="preserve">does it </w:t>
            </w:r>
            <w:r w:rsidRPr="001F1409">
              <w:rPr>
                <w:rFonts w:ascii="Arial Narrow" w:hAnsi="Arial Narrow"/>
                <w:color w:val="000000"/>
                <w:sz w:val="20"/>
                <w:lang w:val="en-AU"/>
              </w:rPr>
              <w:t xml:space="preserve">provide that if the </w:t>
            </w:r>
            <w:r>
              <w:rPr>
                <w:rFonts w:ascii="Arial Narrow" w:hAnsi="Arial Narrow"/>
                <w:color w:val="000000"/>
                <w:sz w:val="20"/>
                <w:lang w:val="en-AU"/>
              </w:rPr>
              <w:t>entit</w:t>
            </w:r>
            <w:r w:rsidRPr="001F1409">
              <w:rPr>
                <w:rFonts w:ascii="Arial Narrow" w:hAnsi="Arial Narrow"/>
                <w:color w:val="000000"/>
                <w:sz w:val="20"/>
                <w:lang w:val="en-AU"/>
              </w:rPr>
              <w:t xml:space="preserve">y requires it, the operator of the joint venture will give the </w:t>
            </w:r>
            <w:r>
              <w:rPr>
                <w:rFonts w:ascii="Arial Narrow" w:hAnsi="Arial Narrow"/>
                <w:color w:val="000000"/>
                <w:sz w:val="20"/>
                <w:lang w:val="en-AU"/>
              </w:rPr>
              <w:t>entit</w:t>
            </w:r>
            <w:r w:rsidRPr="001F1409">
              <w:rPr>
                <w:rFonts w:ascii="Arial Narrow" w:hAnsi="Arial Narrow"/>
                <w:color w:val="000000"/>
                <w:sz w:val="20"/>
                <w:lang w:val="en-AU"/>
              </w:rPr>
              <w:t xml:space="preserve">y all the information the </w:t>
            </w:r>
            <w:r>
              <w:rPr>
                <w:rFonts w:ascii="Arial Narrow" w:hAnsi="Arial Narrow"/>
                <w:color w:val="000000"/>
                <w:sz w:val="20"/>
                <w:lang w:val="en-AU"/>
              </w:rPr>
              <w:t>entit</w:t>
            </w:r>
            <w:r w:rsidRPr="001F1409">
              <w:rPr>
                <w:rFonts w:ascii="Arial Narrow" w:hAnsi="Arial Narrow"/>
                <w:color w:val="000000"/>
                <w:sz w:val="20"/>
                <w:lang w:val="en-AU"/>
              </w:rPr>
              <w:t xml:space="preserve">y requires to comply with the Listing Rules, and that the information may be given to ASX for release to the market if necessary for the </w:t>
            </w:r>
            <w:r>
              <w:rPr>
                <w:rFonts w:ascii="Arial Narrow" w:hAnsi="Arial Narrow"/>
                <w:color w:val="000000"/>
                <w:sz w:val="20"/>
                <w:lang w:val="en-AU"/>
              </w:rPr>
              <w:t>entit</w:t>
            </w:r>
            <w:r w:rsidRPr="001F1409">
              <w:rPr>
                <w:rFonts w:ascii="Arial Narrow" w:hAnsi="Arial Narrow"/>
                <w:color w:val="000000"/>
                <w:sz w:val="20"/>
                <w:lang w:val="en-AU"/>
              </w:rPr>
              <w:t>y to comply with the Listing Rules</w:t>
            </w:r>
            <w:r>
              <w:rPr>
                <w:rFonts w:ascii="Arial Narrow" w:hAnsi="Arial Narrow"/>
                <w:color w:val="000000"/>
                <w:sz w:val="20"/>
                <w:lang w:val="en-AU"/>
              </w:rPr>
              <w:t xml:space="preserve"> </w:t>
            </w:r>
            <w:r w:rsidRPr="00CD0B63">
              <w:rPr>
                <w:rFonts w:ascii="Arial Narrow" w:hAnsi="Arial Narrow"/>
                <w:color w:val="000000"/>
                <w:sz w:val="20"/>
                <w:lang w:val="en-AU"/>
              </w:rPr>
              <w:t>(Listing Rule 5.</w:t>
            </w:r>
            <w:r>
              <w:rPr>
                <w:rFonts w:ascii="Arial Narrow" w:hAnsi="Arial Narrow"/>
                <w:color w:val="000000"/>
                <w:sz w:val="20"/>
                <w:lang w:val="en-AU"/>
              </w:rPr>
              <w:t>45</w:t>
            </w:r>
            <w:r w:rsidRPr="00CD0B6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576FB1" w:rsidRPr="00AF4322" w:rsidRDefault="00576FB1" w:rsidP="00CE2A5F">
            <w:pPr>
              <w:pStyle w:val="boxstyle"/>
              <w:jc w:val="left"/>
              <w:rPr>
                <w:rFonts w:ascii="Arial Narrow" w:hAnsi="Arial Narrow"/>
              </w:rPr>
            </w:pPr>
          </w:p>
        </w:tc>
      </w:tr>
      <w:tr w:rsidR="00A60044" w:rsidRPr="00835256" w:rsidTr="0072155E">
        <w:trPr>
          <w:cantSplit/>
        </w:trPr>
        <w:tc>
          <w:tcPr>
            <w:tcW w:w="9072" w:type="dxa"/>
            <w:gridSpan w:val="3"/>
            <w:tcBorders>
              <w:top w:val="nil"/>
              <w:left w:val="nil"/>
              <w:bottom w:val="nil"/>
            </w:tcBorders>
            <w:tcMar>
              <w:left w:w="0" w:type="dxa"/>
              <w:right w:w="0" w:type="dxa"/>
            </w:tcMar>
          </w:tcPr>
          <w:p w:rsidR="00A60044" w:rsidRPr="00710666" w:rsidRDefault="00A60044" w:rsidP="00576FB1">
            <w:pPr>
              <w:pStyle w:val="Heading4"/>
              <w:keepNext/>
              <w:spacing w:before="240" w:after="120"/>
              <w:jc w:val="left"/>
              <w:rPr>
                <w:rFonts w:ascii="Arial Narrow" w:hAnsi="Arial Narrow"/>
                <w:szCs w:val="22"/>
              </w:rPr>
            </w:pPr>
            <w:r w:rsidRPr="00835256">
              <w:rPr>
                <w:rFonts w:ascii="Arial Narrow" w:hAnsi="Arial Narrow"/>
              </w:rPr>
              <w:t>Historical or foreign estimate</w:t>
            </w:r>
            <w:r w:rsidR="00B2153A" w:rsidRPr="00835256">
              <w:rPr>
                <w:rFonts w:ascii="Arial Narrow" w:hAnsi="Arial Narrow"/>
              </w:rPr>
              <w:t xml:space="preserve">s for a material mining </w:t>
            </w:r>
            <w:r w:rsidR="00B2153A" w:rsidRPr="00710666">
              <w:rPr>
                <w:rFonts w:ascii="Arial Narrow" w:hAnsi="Arial Narrow"/>
                <w:szCs w:val="22"/>
              </w:rPr>
              <w:t>project</w:t>
            </w:r>
            <w:r w:rsidRPr="00710666">
              <w:rPr>
                <w:rStyle w:val="FootnoteReference"/>
                <w:rFonts w:ascii="Arial Narrow" w:hAnsi="Arial Narrow"/>
                <w:b w:val="0"/>
                <w:position w:val="0"/>
                <w:sz w:val="22"/>
                <w:szCs w:val="22"/>
                <w:vertAlign w:val="superscript"/>
              </w:rPr>
              <w:footnoteReference w:id="21"/>
            </w:r>
          </w:p>
          <w:p w:rsidR="00A60044" w:rsidRPr="00835256" w:rsidRDefault="00A60044" w:rsidP="00A60044">
            <w:pPr>
              <w:pStyle w:val="Heading4"/>
              <w:keepNext/>
              <w:spacing w:after="120"/>
              <w:jc w:val="left"/>
              <w:rPr>
                <w:rFonts w:ascii="Arial Narrow" w:hAnsi="Arial Narrow"/>
              </w:rPr>
            </w:pPr>
            <w:r w:rsidRPr="00835256">
              <w:rPr>
                <w:rFonts w:ascii="Arial Narrow" w:hAnsi="Arial Narrow"/>
                <w:b w:val="0"/>
                <w:i/>
                <w:color w:val="000000"/>
                <w:sz w:val="18"/>
              </w:rPr>
              <w:t>Complete this section if the Offer Document includes any reference to historical or foreign estimates</w:t>
            </w:r>
            <w:r w:rsidR="006718FE" w:rsidRPr="00835256">
              <w:rPr>
                <w:rFonts w:ascii="Arial Narrow" w:hAnsi="Arial Narrow"/>
                <w:b w:val="0"/>
                <w:i/>
                <w:color w:val="000000"/>
                <w:sz w:val="18"/>
              </w:rPr>
              <w:t xml:space="preserve"> for a material mining project</w:t>
            </w:r>
            <w:r w:rsidRPr="00835256">
              <w:rPr>
                <w:rFonts w:ascii="Arial Narrow" w:hAnsi="Arial Narrow"/>
                <w:b w:val="0"/>
                <w:i/>
                <w:color w:val="000000"/>
                <w:sz w:val="18"/>
              </w:rPr>
              <w:t>.</w:t>
            </w:r>
          </w:p>
        </w:tc>
      </w:tr>
      <w:tr w:rsidR="00A60044" w:rsidRPr="00835256" w:rsidTr="0072155E">
        <w:trPr>
          <w:cantSplit/>
        </w:trPr>
        <w:tc>
          <w:tcPr>
            <w:tcW w:w="284" w:type="dxa"/>
            <w:tcBorders>
              <w:top w:val="nil"/>
              <w:left w:val="nil"/>
              <w:bottom w:val="nil"/>
              <w:right w:val="nil"/>
            </w:tcBorders>
          </w:tcPr>
          <w:p w:rsidR="00A60044" w:rsidRPr="00835256" w:rsidRDefault="00A60044" w:rsidP="00AB346C">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A60044" w:rsidRPr="00835256" w:rsidRDefault="00A60044" w:rsidP="00122C1C">
            <w:pPr>
              <w:pStyle w:val="boxstyle"/>
              <w:jc w:val="left"/>
              <w:rPr>
                <w:rFonts w:ascii="Arial Narrow" w:hAnsi="Arial Narrow"/>
              </w:rPr>
            </w:pPr>
            <w:r w:rsidRPr="00835256">
              <w:rPr>
                <w:rFonts w:ascii="Arial Narrow" w:hAnsi="Arial Narrow"/>
              </w:rPr>
              <w:t xml:space="preserve">Where in the Offer Document </w:t>
            </w:r>
            <w:r w:rsidR="005C0A5E" w:rsidRPr="00835256">
              <w:rPr>
                <w:rFonts w:ascii="Arial Narrow" w:hAnsi="Arial Narrow"/>
              </w:rPr>
              <w:t>does it disclose the source and date of the historical estimates or foreign estimates (Listing Rule 5.12.1)?</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A60044" w:rsidRPr="00835256" w:rsidRDefault="00A60044" w:rsidP="00AB346C">
            <w:pPr>
              <w:pStyle w:val="boxstyle"/>
              <w:jc w:val="left"/>
              <w:rPr>
                <w:rFonts w:ascii="Arial Narrow" w:hAnsi="Arial Narrow"/>
              </w:rPr>
            </w:pPr>
          </w:p>
        </w:tc>
      </w:tr>
      <w:tr w:rsidR="00A60044" w:rsidRPr="00835256" w:rsidTr="0072155E">
        <w:trPr>
          <w:cantSplit/>
        </w:trPr>
        <w:tc>
          <w:tcPr>
            <w:tcW w:w="284" w:type="dxa"/>
            <w:tcBorders>
              <w:top w:val="nil"/>
              <w:left w:val="nil"/>
              <w:bottom w:val="nil"/>
              <w:right w:val="nil"/>
            </w:tcBorders>
          </w:tcPr>
          <w:p w:rsidR="00A60044" w:rsidRPr="00835256" w:rsidRDefault="00A60044" w:rsidP="00AB346C">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A60044" w:rsidRPr="00835256" w:rsidRDefault="00A60044" w:rsidP="00AB346C">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A60044" w:rsidRPr="00835256" w:rsidRDefault="00A60044" w:rsidP="00AB346C">
            <w:pPr>
              <w:ind w:left="0" w:firstLine="0"/>
              <w:jc w:val="left"/>
              <w:rPr>
                <w:rFonts w:ascii="Arial Narrow" w:hAnsi="Arial Narrow"/>
                <w:sz w:val="20"/>
              </w:rPr>
            </w:pPr>
          </w:p>
        </w:tc>
      </w:tr>
      <w:tr w:rsidR="005C0A5E" w:rsidRPr="00835256" w:rsidTr="0072155E">
        <w:trPr>
          <w:cantSplit/>
        </w:trPr>
        <w:tc>
          <w:tcPr>
            <w:tcW w:w="284" w:type="dxa"/>
            <w:tcBorders>
              <w:top w:val="nil"/>
              <w:left w:val="nil"/>
              <w:bottom w:val="nil"/>
              <w:right w:val="nil"/>
            </w:tcBorders>
          </w:tcPr>
          <w:p w:rsidR="005C0A5E" w:rsidRPr="00835256" w:rsidRDefault="005C0A5E" w:rsidP="00AB346C">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5C0A5E" w:rsidRPr="00835256" w:rsidRDefault="005C0A5E" w:rsidP="00122C1C">
            <w:pPr>
              <w:overflowPunct/>
              <w:ind w:left="0" w:firstLine="0"/>
              <w:jc w:val="left"/>
              <w:textAlignment w:val="auto"/>
              <w:rPr>
                <w:rFonts w:ascii="Arial Narrow" w:hAnsi="Arial Narrow"/>
                <w:sz w:val="20"/>
                <w:lang w:val="en-AU"/>
              </w:rPr>
            </w:pPr>
            <w:r w:rsidRPr="00835256">
              <w:rPr>
                <w:rFonts w:ascii="Arial Narrow" w:hAnsi="Arial Narrow"/>
                <w:color w:val="000000"/>
                <w:sz w:val="20"/>
                <w:lang w:val="en-AU"/>
              </w:rPr>
              <w:t>Where in the Offer Document does it disclose whether the historical estimates or foreign estimates use categories of mineralisation other than those defined in JORC and if so, an explanation of the differences (Listing Rule 5.12.2)?</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5C0A5E" w:rsidRPr="00835256" w:rsidRDefault="005C0A5E" w:rsidP="00AB346C">
            <w:pPr>
              <w:pStyle w:val="boxstyle"/>
              <w:jc w:val="left"/>
              <w:rPr>
                <w:rFonts w:ascii="Arial Narrow" w:hAnsi="Arial Narrow"/>
              </w:rPr>
            </w:pPr>
          </w:p>
        </w:tc>
      </w:tr>
      <w:tr w:rsidR="005C0A5E" w:rsidRPr="00835256" w:rsidTr="0072155E">
        <w:trPr>
          <w:cantSplit/>
        </w:trPr>
        <w:tc>
          <w:tcPr>
            <w:tcW w:w="284" w:type="dxa"/>
            <w:tcBorders>
              <w:top w:val="nil"/>
              <w:left w:val="nil"/>
              <w:bottom w:val="nil"/>
              <w:right w:val="nil"/>
            </w:tcBorders>
          </w:tcPr>
          <w:p w:rsidR="005C0A5E" w:rsidRPr="00835256" w:rsidRDefault="005C0A5E" w:rsidP="00AB346C">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5C0A5E" w:rsidRPr="00835256" w:rsidRDefault="005C0A5E" w:rsidP="00AB346C">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5C0A5E" w:rsidRPr="00835256" w:rsidRDefault="005C0A5E" w:rsidP="00AB346C">
            <w:pPr>
              <w:ind w:left="0" w:firstLine="0"/>
              <w:jc w:val="left"/>
              <w:rPr>
                <w:rFonts w:ascii="Arial Narrow" w:hAnsi="Arial Narrow"/>
                <w:sz w:val="20"/>
              </w:rPr>
            </w:pPr>
          </w:p>
        </w:tc>
      </w:tr>
      <w:tr w:rsidR="005C0A5E" w:rsidRPr="00835256" w:rsidTr="0072155E">
        <w:trPr>
          <w:cantSplit/>
        </w:trPr>
        <w:tc>
          <w:tcPr>
            <w:tcW w:w="284" w:type="dxa"/>
            <w:tcBorders>
              <w:top w:val="nil"/>
              <w:left w:val="nil"/>
              <w:bottom w:val="nil"/>
              <w:right w:val="nil"/>
            </w:tcBorders>
          </w:tcPr>
          <w:p w:rsidR="005C0A5E" w:rsidRPr="00835256" w:rsidRDefault="005C0A5E" w:rsidP="00AB346C">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5C0A5E" w:rsidRPr="00835256" w:rsidRDefault="005C0A5E" w:rsidP="00122C1C">
            <w:pPr>
              <w:overflowPunct/>
              <w:ind w:left="0" w:firstLine="0"/>
              <w:jc w:val="left"/>
              <w:textAlignment w:val="auto"/>
              <w:rPr>
                <w:rFonts w:ascii="Arial Narrow" w:hAnsi="Arial Narrow"/>
                <w:sz w:val="20"/>
                <w:lang w:val="en-AU"/>
              </w:rPr>
            </w:pPr>
            <w:r w:rsidRPr="00835256">
              <w:rPr>
                <w:rFonts w:ascii="Arial Narrow" w:hAnsi="Arial Narrow"/>
                <w:color w:val="000000"/>
                <w:sz w:val="20"/>
                <w:lang w:val="en-AU"/>
              </w:rPr>
              <w:t xml:space="preserve">Where in the Offer Document does it disclose the relevance and materiality of the historical estimates or foreign estimates to the </w:t>
            </w:r>
            <w:r w:rsidRPr="00835256">
              <w:rPr>
                <w:rFonts w:ascii="Arial Narrow" w:hAnsi="Arial Narrow"/>
                <w:sz w:val="20"/>
                <w:lang w:val="en-AU"/>
              </w:rPr>
              <w:t>entity</w:t>
            </w:r>
            <w:r w:rsidRPr="00835256">
              <w:rPr>
                <w:rFonts w:ascii="Arial Narrow" w:hAnsi="Arial Narrow"/>
                <w:color w:val="000000"/>
                <w:sz w:val="20"/>
                <w:lang w:val="en-AU"/>
              </w:rPr>
              <w:t xml:space="preserve"> (Listing Rule 5.12.3)?</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5C0A5E" w:rsidRPr="00835256" w:rsidRDefault="005C0A5E" w:rsidP="00AB346C">
            <w:pPr>
              <w:pStyle w:val="boxstyle"/>
              <w:jc w:val="left"/>
              <w:rPr>
                <w:rFonts w:ascii="Arial Narrow" w:hAnsi="Arial Narrow"/>
              </w:rPr>
            </w:pPr>
          </w:p>
        </w:tc>
      </w:tr>
      <w:tr w:rsidR="005C0A5E" w:rsidRPr="00835256" w:rsidTr="0072155E">
        <w:trPr>
          <w:cantSplit/>
        </w:trPr>
        <w:tc>
          <w:tcPr>
            <w:tcW w:w="284" w:type="dxa"/>
            <w:tcBorders>
              <w:top w:val="nil"/>
              <w:left w:val="nil"/>
              <w:bottom w:val="nil"/>
              <w:right w:val="nil"/>
            </w:tcBorders>
          </w:tcPr>
          <w:p w:rsidR="005C0A5E" w:rsidRPr="00835256" w:rsidRDefault="005C0A5E" w:rsidP="00AB346C">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5C0A5E" w:rsidRPr="00835256" w:rsidRDefault="005C0A5E" w:rsidP="00AB346C">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5C0A5E" w:rsidRPr="00835256" w:rsidRDefault="005C0A5E" w:rsidP="00AB346C">
            <w:pPr>
              <w:ind w:left="0" w:firstLine="0"/>
              <w:jc w:val="left"/>
              <w:rPr>
                <w:rFonts w:ascii="Arial Narrow" w:hAnsi="Arial Narrow"/>
                <w:sz w:val="20"/>
              </w:rPr>
            </w:pPr>
          </w:p>
        </w:tc>
      </w:tr>
      <w:tr w:rsidR="005C0A5E" w:rsidRPr="00835256" w:rsidTr="0072155E">
        <w:trPr>
          <w:cantSplit/>
        </w:trPr>
        <w:tc>
          <w:tcPr>
            <w:tcW w:w="284" w:type="dxa"/>
            <w:tcBorders>
              <w:top w:val="nil"/>
              <w:left w:val="nil"/>
              <w:bottom w:val="nil"/>
              <w:right w:val="nil"/>
            </w:tcBorders>
          </w:tcPr>
          <w:p w:rsidR="005C0A5E" w:rsidRPr="00835256" w:rsidRDefault="005C0A5E" w:rsidP="00AB346C">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5C0A5E" w:rsidRPr="00835256" w:rsidRDefault="005C0A5E" w:rsidP="00122C1C">
            <w:pPr>
              <w:overflowPunct/>
              <w:ind w:left="0" w:firstLine="0"/>
              <w:jc w:val="left"/>
              <w:textAlignment w:val="auto"/>
              <w:rPr>
                <w:rFonts w:ascii="Arial Narrow" w:hAnsi="Arial Narrow"/>
                <w:sz w:val="20"/>
                <w:lang w:val="en-AU"/>
              </w:rPr>
            </w:pPr>
            <w:r w:rsidRPr="00835256">
              <w:rPr>
                <w:rFonts w:ascii="Arial Narrow" w:hAnsi="Arial Narrow"/>
                <w:color w:val="000000"/>
                <w:sz w:val="20"/>
                <w:lang w:val="en-AU"/>
              </w:rPr>
              <w:t>Where in the Offer Document does it disclose the reliability of the historical estimates or foreign estimates, including by reference to any of the criteria in JORC Table 1 which are relevant to understanding the reliability of the historical estimates or foreign estimates (Listing Rule 5.12.4)?</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5C0A5E" w:rsidRPr="00835256" w:rsidRDefault="005C0A5E" w:rsidP="00AB346C">
            <w:pPr>
              <w:pStyle w:val="boxstyle"/>
              <w:jc w:val="left"/>
              <w:rPr>
                <w:rFonts w:ascii="Arial Narrow" w:hAnsi="Arial Narrow"/>
              </w:rPr>
            </w:pPr>
          </w:p>
        </w:tc>
      </w:tr>
      <w:tr w:rsidR="005C0A5E" w:rsidRPr="00835256" w:rsidTr="0072155E">
        <w:trPr>
          <w:cantSplit/>
        </w:trPr>
        <w:tc>
          <w:tcPr>
            <w:tcW w:w="284" w:type="dxa"/>
            <w:tcBorders>
              <w:top w:val="nil"/>
              <w:left w:val="nil"/>
              <w:bottom w:val="nil"/>
              <w:right w:val="nil"/>
            </w:tcBorders>
          </w:tcPr>
          <w:p w:rsidR="005C0A5E" w:rsidRPr="00835256" w:rsidRDefault="005C0A5E" w:rsidP="00AB346C">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5C0A5E" w:rsidRPr="00835256" w:rsidRDefault="005C0A5E" w:rsidP="00AB346C">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5C0A5E" w:rsidRPr="00835256" w:rsidRDefault="005C0A5E" w:rsidP="00AB346C">
            <w:pPr>
              <w:ind w:left="0" w:firstLine="0"/>
              <w:jc w:val="left"/>
              <w:rPr>
                <w:rFonts w:ascii="Arial Narrow" w:hAnsi="Arial Narrow"/>
                <w:sz w:val="20"/>
              </w:rPr>
            </w:pPr>
          </w:p>
        </w:tc>
      </w:tr>
      <w:tr w:rsidR="005C0A5E" w:rsidRPr="00835256" w:rsidTr="0072155E">
        <w:trPr>
          <w:cantSplit/>
        </w:trPr>
        <w:tc>
          <w:tcPr>
            <w:tcW w:w="284" w:type="dxa"/>
            <w:tcBorders>
              <w:top w:val="nil"/>
              <w:left w:val="nil"/>
              <w:bottom w:val="nil"/>
              <w:right w:val="nil"/>
            </w:tcBorders>
          </w:tcPr>
          <w:p w:rsidR="005C0A5E" w:rsidRPr="00835256" w:rsidRDefault="005C0A5E" w:rsidP="00AB346C">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5C0A5E" w:rsidRPr="00835256" w:rsidRDefault="005C0A5E" w:rsidP="00122C1C">
            <w:pPr>
              <w:overflowPunct/>
              <w:ind w:left="0" w:firstLine="0"/>
              <w:jc w:val="left"/>
              <w:textAlignment w:val="auto"/>
              <w:rPr>
                <w:rFonts w:ascii="Arial Narrow" w:hAnsi="Arial Narrow"/>
                <w:sz w:val="20"/>
                <w:lang w:val="en-AU"/>
              </w:rPr>
            </w:pPr>
            <w:r w:rsidRPr="00835256">
              <w:rPr>
                <w:rFonts w:ascii="Arial Narrow" w:hAnsi="Arial Narrow"/>
                <w:color w:val="000000"/>
                <w:sz w:val="20"/>
                <w:lang w:val="en-AU"/>
              </w:rPr>
              <w:t>Where in the Offer Document does it disclose, to the extent known, a summary of the work programs on which the historical estimates or foreign estimates are based and a summary of the key assumptions, mining and processing parameters and methods used to prepare the historical estimates or foreign estimates (Listing Rule 5.12.5)?</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5C0A5E" w:rsidRPr="00835256" w:rsidRDefault="005C0A5E" w:rsidP="00AB346C">
            <w:pPr>
              <w:pStyle w:val="boxstyle"/>
              <w:jc w:val="left"/>
              <w:rPr>
                <w:rFonts w:ascii="Arial Narrow" w:hAnsi="Arial Narrow"/>
              </w:rPr>
            </w:pPr>
          </w:p>
        </w:tc>
      </w:tr>
      <w:tr w:rsidR="005C0A5E" w:rsidRPr="00835256" w:rsidTr="0072155E">
        <w:trPr>
          <w:cantSplit/>
        </w:trPr>
        <w:tc>
          <w:tcPr>
            <w:tcW w:w="284" w:type="dxa"/>
            <w:tcBorders>
              <w:top w:val="nil"/>
              <w:left w:val="nil"/>
              <w:bottom w:val="nil"/>
              <w:right w:val="nil"/>
            </w:tcBorders>
          </w:tcPr>
          <w:p w:rsidR="005C0A5E" w:rsidRPr="00835256" w:rsidRDefault="005C0A5E" w:rsidP="00AB346C">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5C0A5E" w:rsidRPr="00835256" w:rsidRDefault="005C0A5E" w:rsidP="00AB346C">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5C0A5E" w:rsidRPr="00835256" w:rsidRDefault="005C0A5E" w:rsidP="00AB346C">
            <w:pPr>
              <w:ind w:left="0" w:firstLine="0"/>
              <w:jc w:val="left"/>
              <w:rPr>
                <w:rFonts w:ascii="Arial Narrow" w:hAnsi="Arial Narrow"/>
                <w:sz w:val="20"/>
              </w:rPr>
            </w:pPr>
          </w:p>
        </w:tc>
      </w:tr>
      <w:tr w:rsidR="005C0A5E" w:rsidRPr="00835256" w:rsidTr="0072155E">
        <w:trPr>
          <w:cantSplit/>
        </w:trPr>
        <w:tc>
          <w:tcPr>
            <w:tcW w:w="284" w:type="dxa"/>
            <w:tcBorders>
              <w:top w:val="nil"/>
              <w:left w:val="nil"/>
              <w:bottom w:val="nil"/>
              <w:right w:val="nil"/>
            </w:tcBorders>
          </w:tcPr>
          <w:p w:rsidR="005C0A5E" w:rsidRPr="00835256" w:rsidRDefault="005C0A5E" w:rsidP="00AB346C">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5C0A5E" w:rsidRPr="00835256" w:rsidRDefault="005C0A5E" w:rsidP="00122C1C">
            <w:pPr>
              <w:overflowPunct/>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Where in the Offer Document does it disclose any more recent estimates or data relevant to the reported mineralisation available to the entity (Listing Rule 5.12.6)?</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5C0A5E" w:rsidRPr="00835256" w:rsidRDefault="005C0A5E" w:rsidP="00AB346C">
            <w:pPr>
              <w:pStyle w:val="boxstyle"/>
              <w:jc w:val="left"/>
              <w:rPr>
                <w:rFonts w:ascii="Arial Narrow" w:hAnsi="Arial Narrow"/>
              </w:rPr>
            </w:pPr>
          </w:p>
        </w:tc>
      </w:tr>
      <w:tr w:rsidR="005C0A5E" w:rsidRPr="00835256" w:rsidTr="0072155E">
        <w:trPr>
          <w:cantSplit/>
        </w:trPr>
        <w:tc>
          <w:tcPr>
            <w:tcW w:w="284" w:type="dxa"/>
            <w:tcBorders>
              <w:top w:val="nil"/>
              <w:left w:val="nil"/>
              <w:bottom w:val="nil"/>
              <w:right w:val="nil"/>
            </w:tcBorders>
          </w:tcPr>
          <w:p w:rsidR="005C0A5E" w:rsidRPr="00835256" w:rsidRDefault="005C0A5E" w:rsidP="00AB346C">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5C0A5E" w:rsidRPr="00835256" w:rsidRDefault="005C0A5E" w:rsidP="00AB346C">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5C0A5E" w:rsidRPr="00835256" w:rsidRDefault="005C0A5E" w:rsidP="00AB346C">
            <w:pPr>
              <w:ind w:left="0" w:firstLine="0"/>
              <w:jc w:val="left"/>
              <w:rPr>
                <w:rFonts w:ascii="Arial Narrow" w:hAnsi="Arial Narrow"/>
                <w:sz w:val="20"/>
              </w:rPr>
            </w:pPr>
          </w:p>
        </w:tc>
      </w:tr>
      <w:tr w:rsidR="005C0A5E" w:rsidRPr="00835256" w:rsidTr="0072155E">
        <w:trPr>
          <w:cantSplit/>
        </w:trPr>
        <w:tc>
          <w:tcPr>
            <w:tcW w:w="284" w:type="dxa"/>
            <w:tcBorders>
              <w:top w:val="nil"/>
              <w:left w:val="nil"/>
              <w:bottom w:val="nil"/>
              <w:right w:val="nil"/>
            </w:tcBorders>
          </w:tcPr>
          <w:p w:rsidR="005C0A5E" w:rsidRPr="00835256" w:rsidRDefault="005C0A5E" w:rsidP="00AB346C">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5C0A5E" w:rsidRPr="00835256" w:rsidRDefault="005C0A5E" w:rsidP="00122C1C">
            <w:pPr>
              <w:overflowPunct/>
              <w:ind w:left="0" w:firstLine="0"/>
              <w:jc w:val="left"/>
              <w:textAlignment w:val="auto"/>
              <w:rPr>
                <w:rFonts w:ascii="Arial Narrow" w:hAnsi="Arial Narrow"/>
                <w:sz w:val="20"/>
                <w:lang w:val="en-AU"/>
              </w:rPr>
            </w:pPr>
            <w:r w:rsidRPr="00835256">
              <w:rPr>
                <w:rFonts w:ascii="Arial Narrow" w:hAnsi="Arial Narrow"/>
                <w:color w:val="000000"/>
                <w:sz w:val="20"/>
                <w:lang w:val="en-AU"/>
              </w:rPr>
              <w:t>Where in the Offer Document does it disclose the evaluation and/or exploration work that needs to be completed to verify the historical estimates or foreign estimates as mineral resources or ore reserves in accordance with JORC (Listing Rule 5.12.7)?</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5C0A5E" w:rsidRPr="00835256" w:rsidRDefault="005C0A5E" w:rsidP="00AB346C">
            <w:pPr>
              <w:pStyle w:val="boxstyle"/>
              <w:jc w:val="left"/>
              <w:rPr>
                <w:rFonts w:ascii="Arial Narrow" w:hAnsi="Arial Narrow"/>
              </w:rPr>
            </w:pPr>
          </w:p>
        </w:tc>
      </w:tr>
      <w:tr w:rsidR="005C0A5E" w:rsidRPr="00835256" w:rsidTr="0072155E">
        <w:trPr>
          <w:cantSplit/>
        </w:trPr>
        <w:tc>
          <w:tcPr>
            <w:tcW w:w="284" w:type="dxa"/>
            <w:tcBorders>
              <w:top w:val="nil"/>
              <w:left w:val="nil"/>
              <w:bottom w:val="nil"/>
              <w:right w:val="nil"/>
            </w:tcBorders>
          </w:tcPr>
          <w:p w:rsidR="005C0A5E" w:rsidRPr="00835256" w:rsidRDefault="005C0A5E" w:rsidP="00AB346C">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5C0A5E" w:rsidRPr="00835256" w:rsidRDefault="005C0A5E" w:rsidP="00AB346C">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5C0A5E" w:rsidRPr="00835256" w:rsidRDefault="005C0A5E" w:rsidP="00AB346C">
            <w:pPr>
              <w:ind w:left="0" w:firstLine="0"/>
              <w:jc w:val="left"/>
              <w:rPr>
                <w:rFonts w:ascii="Arial Narrow" w:hAnsi="Arial Narrow"/>
                <w:sz w:val="20"/>
              </w:rPr>
            </w:pPr>
          </w:p>
        </w:tc>
      </w:tr>
      <w:tr w:rsidR="005C0A5E" w:rsidRPr="00835256" w:rsidTr="0072155E">
        <w:trPr>
          <w:cantSplit/>
        </w:trPr>
        <w:tc>
          <w:tcPr>
            <w:tcW w:w="284" w:type="dxa"/>
            <w:tcBorders>
              <w:top w:val="nil"/>
              <w:left w:val="nil"/>
              <w:bottom w:val="nil"/>
              <w:right w:val="nil"/>
            </w:tcBorders>
          </w:tcPr>
          <w:p w:rsidR="005C0A5E" w:rsidRPr="00835256" w:rsidRDefault="005C0A5E" w:rsidP="00AB346C">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5C0A5E" w:rsidRPr="00835256" w:rsidRDefault="005C0A5E" w:rsidP="00122C1C">
            <w:pPr>
              <w:overflowPunct/>
              <w:ind w:left="0" w:firstLine="0"/>
              <w:jc w:val="left"/>
              <w:textAlignment w:val="auto"/>
              <w:rPr>
                <w:rFonts w:ascii="Arial Narrow" w:hAnsi="Arial Narrow"/>
                <w:sz w:val="20"/>
                <w:lang w:val="en-AU"/>
              </w:rPr>
            </w:pPr>
            <w:r w:rsidRPr="00835256">
              <w:rPr>
                <w:rFonts w:ascii="Arial Narrow" w:hAnsi="Arial Narrow"/>
                <w:color w:val="000000"/>
                <w:sz w:val="20"/>
                <w:lang w:val="en-AU"/>
              </w:rPr>
              <w:t xml:space="preserve">Where in the Offer Document does it disclose the </w:t>
            </w:r>
            <w:r w:rsidR="006718FE" w:rsidRPr="00835256">
              <w:rPr>
                <w:rFonts w:ascii="Arial Narrow" w:hAnsi="Arial Narrow"/>
                <w:color w:val="000000"/>
                <w:sz w:val="20"/>
                <w:lang w:val="en-AU"/>
              </w:rPr>
              <w:t xml:space="preserve">proposed timing of any evaluation and/or exploration work that the entity intends to undertake and a comment on how the entity intends to fund that work </w:t>
            </w:r>
            <w:r w:rsidRPr="00835256">
              <w:rPr>
                <w:rFonts w:ascii="Arial Narrow" w:hAnsi="Arial Narrow"/>
                <w:color w:val="000000"/>
                <w:sz w:val="20"/>
                <w:lang w:val="en-AU"/>
              </w:rPr>
              <w:t>(Listing Rule 5.12.</w:t>
            </w:r>
            <w:r w:rsidR="006718FE" w:rsidRPr="00835256">
              <w:rPr>
                <w:rFonts w:ascii="Arial Narrow" w:hAnsi="Arial Narrow"/>
                <w:color w:val="000000"/>
                <w:sz w:val="20"/>
                <w:lang w:val="en-AU"/>
              </w:rPr>
              <w:t>8</w:t>
            </w:r>
            <w:r w:rsidRPr="0083525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5C0A5E" w:rsidRPr="00835256" w:rsidRDefault="005C0A5E" w:rsidP="00AB346C">
            <w:pPr>
              <w:pStyle w:val="boxstyle"/>
              <w:jc w:val="left"/>
              <w:rPr>
                <w:rFonts w:ascii="Arial Narrow" w:hAnsi="Arial Narrow"/>
              </w:rPr>
            </w:pPr>
          </w:p>
        </w:tc>
      </w:tr>
      <w:tr w:rsidR="005C0A5E" w:rsidRPr="00835256" w:rsidTr="0072155E">
        <w:trPr>
          <w:cantSplit/>
        </w:trPr>
        <w:tc>
          <w:tcPr>
            <w:tcW w:w="284" w:type="dxa"/>
            <w:tcBorders>
              <w:top w:val="nil"/>
              <w:left w:val="nil"/>
              <w:bottom w:val="nil"/>
              <w:right w:val="nil"/>
            </w:tcBorders>
          </w:tcPr>
          <w:p w:rsidR="005C0A5E" w:rsidRPr="00835256" w:rsidRDefault="005C0A5E" w:rsidP="00AB346C">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5C0A5E" w:rsidRPr="00835256" w:rsidRDefault="005C0A5E" w:rsidP="00AB346C">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5C0A5E" w:rsidRPr="00835256" w:rsidRDefault="005C0A5E" w:rsidP="00AB346C">
            <w:pPr>
              <w:ind w:left="0" w:firstLine="0"/>
              <w:jc w:val="left"/>
              <w:rPr>
                <w:rFonts w:ascii="Arial Narrow" w:hAnsi="Arial Narrow"/>
                <w:sz w:val="20"/>
              </w:rPr>
            </w:pPr>
          </w:p>
        </w:tc>
      </w:tr>
      <w:tr w:rsidR="005C0A5E" w:rsidRPr="00835256" w:rsidTr="0072155E">
        <w:trPr>
          <w:cantSplit/>
        </w:trPr>
        <w:tc>
          <w:tcPr>
            <w:tcW w:w="284" w:type="dxa"/>
            <w:tcBorders>
              <w:top w:val="nil"/>
              <w:left w:val="nil"/>
              <w:bottom w:val="nil"/>
              <w:right w:val="nil"/>
            </w:tcBorders>
          </w:tcPr>
          <w:p w:rsidR="005C0A5E" w:rsidRPr="00835256" w:rsidRDefault="005C0A5E" w:rsidP="00AB346C">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6718FE" w:rsidRPr="00835256" w:rsidRDefault="005C0A5E" w:rsidP="00E83164">
            <w:pPr>
              <w:overflowPunct/>
              <w:spacing w:after="60"/>
              <w:ind w:left="0" w:firstLine="0"/>
              <w:jc w:val="left"/>
              <w:textAlignment w:val="auto"/>
              <w:rPr>
                <w:rFonts w:ascii="Arial Narrow" w:hAnsi="Arial Narrow"/>
                <w:color w:val="000000"/>
                <w:sz w:val="20"/>
                <w:lang w:val="en-AU"/>
              </w:rPr>
            </w:pPr>
            <w:r w:rsidRPr="00835256">
              <w:rPr>
                <w:rFonts w:ascii="Arial Narrow" w:hAnsi="Arial Narrow"/>
                <w:color w:val="000000"/>
                <w:sz w:val="20"/>
                <w:lang w:val="en-AU"/>
              </w:rPr>
              <w:t xml:space="preserve">Where in the Offer Document does it </w:t>
            </w:r>
            <w:r w:rsidR="006718FE" w:rsidRPr="00835256">
              <w:rPr>
                <w:rFonts w:ascii="Arial Narrow" w:hAnsi="Arial Narrow"/>
                <w:color w:val="000000"/>
                <w:sz w:val="20"/>
                <w:lang w:val="en-AU"/>
              </w:rPr>
              <w:t>include the required cautionary statement that</w:t>
            </w:r>
            <w:r w:rsidR="00B2153A" w:rsidRPr="00835256">
              <w:rPr>
                <w:rFonts w:ascii="Arial Narrow" w:hAnsi="Arial Narrow"/>
                <w:color w:val="000000"/>
                <w:sz w:val="20"/>
                <w:lang w:val="en-AU"/>
              </w:rPr>
              <w:t>:</w:t>
            </w:r>
          </w:p>
          <w:p w:rsidR="006718FE" w:rsidRPr="00835256" w:rsidRDefault="006718FE" w:rsidP="006718FE">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the estimates are historical estimates or foreign estimates and are not reported in accordance with the JORC Code;</w:t>
            </w:r>
          </w:p>
          <w:p w:rsidR="006718FE" w:rsidRPr="00835256" w:rsidRDefault="006718FE" w:rsidP="006718FE">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835256">
              <w:rPr>
                <w:rFonts w:ascii="Arial Narrow" w:hAnsi="Arial Narrow"/>
                <w:color w:val="000000"/>
                <w:sz w:val="20"/>
                <w:lang w:val="en-AU"/>
              </w:rPr>
              <w:t>a competent person has not done sufficient work to classify the historical estimates or foreign estimates as mineral resources or ore reserves in accordance with the JORC Code; and</w:t>
            </w:r>
          </w:p>
          <w:p w:rsidR="005C0A5E" w:rsidRPr="00835256" w:rsidRDefault="006718FE" w:rsidP="00122C1C">
            <w:pPr>
              <w:numPr>
                <w:ilvl w:val="0"/>
                <w:numId w:val="21"/>
              </w:numPr>
              <w:overflowPunct/>
              <w:autoSpaceDE/>
              <w:autoSpaceDN/>
              <w:adjustRightInd/>
              <w:ind w:left="284" w:hanging="284"/>
              <w:jc w:val="left"/>
              <w:textAlignment w:val="auto"/>
              <w:rPr>
                <w:rFonts w:ascii="Arial Narrow" w:hAnsi="Arial Narrow"/>
                <w:sz w:val="20"/>
                <w:lang w:val="en-AU"/>
              </w:rPr>
            </w:pPr>
            <w:r w:rsidRPr="00835256">
              <w:rPr>
                <w:rFonts w:ascii="Arial Narrow" w:hAnsi="Arial Narrow"/>
                <w:color w:val="000000"/>
                <w:sz w:val="20"/>
                <w:lang w:val="en-AU"/>
              </w:rPr>
              <w:t xml:space="preserve">it is uncertain that following evaluation and/or further exploration work that the historical estimates or foreign estimates will be able to be reported as mineral resources or ore reserves in accordance with the JORC Code </w:t>
            </w:r>
            <w:r w:rsidR="005C0A5E" w:rsidRPr="00835256">
              <w:rPr>
                <w:rFonts w:ascii="Arial Narrow" w:hAnsi="Arial Narrow"/>
                <w:color w:val="000000"/>
                <w:sz w:val="20"/>
                <w:lang w:val="en-AU"/>
              </w:rPr>
              <w:t>(Listing Rule 5.12.</w:t>
            </w:r>
            <w:r w:rsidRPr="00835256">
              <w:rPr>
                <w:rFonts w:ascii="Arial Narrow" w:hAnsi="Arial Narrow"/>
                <w:color w:val="000000"/>
                <w:sz w:val="20"/>
                <w:lang w:val="en-AU"/>
              </w:rPr>
              <w:t>9</w:t>
            </w:r>
            <w:r w:rsidR="005C0A5E" w:rsidRPr="00835256">
              <w:rPr>
                <w:rFonts w:ascii="Arial Narrow" w:hAnsi="Arial Narrow"/>
                <w:color w:val="000000"/>
                <w:sz w:val="20"/>
                <w:lang w:val="en-AU"/>
              </w:rPr>
              <w:t>)?</w:t>
            </w:r>
            <w:r w:rsidRPr="00710666">
              <w:rPr>
                <w:rStyle w:val="FootnoteReference"/>
                <w:rFonts w:ascii="Arial Narrow" w:hAnsi="Arial Narrow"/>
                <w:position w:val="0"/>
                <w:sz w:val="20"/>
                <w:vertAlign w:val="superscript"/>
              </w:rPr>
              <w:footnoteReference w:id="22"/>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5C0A5E" w:rsidRPr="00835256" w:rsidRDefault="005C0A5E" w:rsidP="00AB346C">
            <w:pPr>
              <w:pStyle w:val="boxstyle"/>
              <w:jc w:val="left"/>
              <w:rPr>
                <w:rFonts w:ascii="Arial Narrow" w:hAnsi="Arial Narrow"/>
              </w:rPr>
            </w:pPr>
          </w:p>
        </w:tc>
      </w:tr>
      <w:tr w:rsidR="005C0A5E" w:rsidRPr="00835256" w:rsidTr="0072155E">
        <w:trPr>
          <w:cantSplit/>
        </w:trPr>
        <w:tc>
          <w:tcPr>
            <w:tcW w:w="284" w:type="dxa"/>
            <w:tcBorders>
              <w:top w:val="nil"/>
              <w:left w:val="nil"/>
              <w:bottom w:val="nil"/>
              <w:right w:val="nil"/>
            </w:tcBorders>
          </w:tcPr>
          <w:p w:rsidR="005C0A5E" w:rsidRPr="00835256" w:rsidRDefault="005C0A5E" w:rsidP="00AB346C">
            <w:pPr>
              <w:tabs>
                <w:tab w:val="left" w:pos="150"/>
              </w:tabs>
              <w:ind w:left="0" w:firstLine="0"/>
              <w:jc w:val="left"/>
              <w:rPr>
                <w:rFonts w:ascii="Arial Narrow" w:hAnsi="Arial Narrow"/>
                <w:sz w:val="20"/>
              </w:rPr>
            </w:pPr>
          </w:p>
        </w:tc>
        <w:tc>
          <w:tcPr>
            <w:tcW w:w="5670" w:type="dxa"/>
            <w:tcBorders>
              <w:top w:val="nil"/>
              <w:left w:val="nil"/>
              <w:bottom w:val="nil"/>
              <w:right w:val="nil"/>
            </w:tcBorders>
            <w:tcMar>
              <w:right w:w="85" w:type="dxa"/>
            </w:tcMar>
          </w:tcPr>
          <w:p w:rsidR="005C0A5E" w:rsidRPr="00835256" w:rsidRDefault="005C0A5E" w:rsidP="00AB346C">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5C0A5E" w:rsidRPr="00835256" w:rsidRDefault="005C0A5E" w:rsidP="00AB346C">
            <w:pPr>
              <w:ind w:left="0" w:firstLine="0"/>
              <w:jc w:val="left"/>
              <w:rPr>
                <w:rFonts w:ascii="Arial Narrow" w:hAnsi="Arial Narrow"/>
                <w:sz w:val="20"/>
              </w:rPr>
            </w:pPr>
          </w:p>
        </w:tc>
      </w:tr>
      <w:tr w:rsidR="005C0A5E" w:rsidRPr="00835256" w:rsidTr="0072155E">
        <w:trPr>
          <w:cantSplit/>
        </w:trPr>
        <w:tc>
          <w:tcPr>
            <w:tcW w:w="284" w:type="dxa"/>
            <w:tcBorders>
              <w:top w:val="nil"/>
              <w:left w:val="nil"/>
              <w:bottom w:val="nil"/>
              <w:right w:val="nil"/>
            </w:tcBorders>
          </w:tcPr>
          <w:p w:rsidR="005C0A5E" w:rsidRPr="00835256" w:rsidRDefault="005C0A5E" w:rsidP="00AB346C">
            <w:pPr>
              <w:pStyle w:val="boxstyle"/>
              <w:numPr>
                <w:ilvl w:val="0"/>
                <w:numId w:val="15"/>
              </w:numPr>
              <w:tabs>
                <w:tab w:val="left" w:pos="150"/>
              </w:tabs>
              <w:ind w:left="0" w:firstLine="0"/>
              <w:jc w:val="left"/>
              <w:rPr>
                <w:rFonts w:ascii="Arial Narrow" w:hAnsi="Arial Narrow"/>
              </w:rPr>
            </w:pPr>
          </w:p>
        </w:tc>
        <w:tc>
          <w:tcPr>
            <w:tcW w:w="5670" w:type="dxa"/>
            <w:tcBorders>
              <w:top w:val="nil"/>
              <w:left w:val="nil"/>
              <w:bottom w:val="nil"/>
              <w:right w:val="nil"/>
            </w:tcBorders>
            <w:tcMar>
              <w:right w:w="85" w:type="dxa"/>
            </w:tcMar>
          </w:tcPr>
          <w:p w:rsidR="005C0A5E" w:rsidRPr="00835256" w:rsidRDefault="005C0A5E" w:rsidP="00122C1C">
            <w:pPr>
              <w:overflowPunct/>
              <w:ind w:left="0" w:firstLine="0"/>
              <w:jc w:val="left"/>
              <w:textAlignment w:val="auto"/>
              <w:rPr>
                <w:rFonts w:ascii="Arial Narrow" w:hAnsi="Arial Narrow"/>
                <w:sz w:val="20"/>
                <w:lang w:val="en-AU"/>
              </w:rPr>
            </w:pPr>
            <w:r w:rsidRPr="00835256">
              <w:rPr>
                <w:rFonts w:ascii="Arial Narrow" w:hAnsi="Arial Narrow"/>
                <w:color w:val="000000"/>
                <w:sz w:val="20"/>
                <w:lang w:val="en-AU"/>
              </w:rPr>
              <w:t xml:space="preserve">Where in the Offer Document does it </w:t>
            </w:r>
            <w:r w:rsidR="00B2153A" w:rsidRPr="00835256">
              <w:rPr>
                <w:rFonts w:ascii="Arial Narrow" w:hAnsi="Arial Narrow"/>
                <w:color w:val="000000"/>
                <w:sz w:val="20"/>
                <w:lang w:val="en-AU"/>
              </w:rPr>
              <w:t>include</w:t>
            </w:r>
            <w:r w:rsidRPr="00835256">
              <w:rPr>
                <w:rFonts w:ascii="Arial Narrow" w:hAnsi="Arial Narrow"/>
                <w:color w:val="000000"/>
                <w:sz w:val="20"/>
                <w:lang w:val="en-AU"/>
              </w:rPr>
              <w:t xml:space="preserve"> the </w:t>
            </w:r>
            <w:r w:rsidR="00B2153A" w:rsidRPr="00835256">
              <w:rPr>
                <w:rFonts w:ascii="Arial Narrow" w:hAnsi="Arial Narrow"/>
                <w:color w:val="000000"/>
                <w:sz w:val="20"/>
                <w:lang w:val="en-AU"/>
              </w:rPr>
              <w:t>required statement by a named competent person or persons that the information in the Offer Document provided under Listing Rules 5.12.2 to 5.12.7 is an accurate representation of the available data and studies for the project and the information referred to in Listing Rules 5.22(b) and (c)</w:t>
            </w:r>
            <w:r w:rsidRPr="00835256">
              <w:rPr>
                <w:rFonts w:ascii="Arial Narrow" w:hAnsi="Arial Narrow"/>
                <w:color w:val="000000"/>
                <w:sz w:val="20"/>
                <w:lang w:val="en-AU"/>
              </w:rPr>
              <w:t xml:space="preserve"> (Listing Rule 5.12.1</w:t>
            </w:r>
            <w:r w:rsidR="00B2153A" w:rsidRPr="00835256">
              <w:rPr>
                <w:rFonts w:ascii="Arial Narrow" w:hAnsi="Arial Narrow"/>
                <w:color w:val="000000"/>
                <w:sz w:val="20"/>
                <w:lang w:val="en-AU"/>
              </w:rPr>
              <w:t>0</w:t>
            </w:r>
            <w:r w:rsidRPr="0083525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5C0A5E" w:rsidRPr="00835256" w:rsidRDefault="005C0A5E" w:rsidP="00AB346C">
            <w:pPr>
              <w:pStyle w:val="boxstyle"/>
              <w:jc w:val="left"/>
              <w:rPr>
                <w:rFonts w:ascii="Arial Narrow" w:hAnsi="Arial Narrow"/>
              </w:rPr>
            </w:pPr>
          </w:p>
        </w:tc>
      </w:tr>
    </w:tbl>
    <w:p w:rsidR="00EB501A" w:rsidRPr="0050209D" w:rsidRDefault="00EB501A" w:rsidP="002721E8">
      <w:pPr>
        <w:ind w:left="0" w:firstLine="0"/>
        <w:jc w:val="left"/>
        <w:rPr>
          <w:rFonts w:ascii="Arial Narrow" w:hAnsi="Arial Narrow"/>
          <w:i/>
          <w:color w:val="000000"/>
          <w:sz w:val="16"/>
          <w:szCs w:val="16"/>
        </w:rPr>
      </w:pPr>
    </w:p>
    <w:sectPr w:rsidR="00EB501A" w:rsidRPr="0050209D" w:rsidSect="0050209D">
      <w:footerReference w:type="even" r:id="rId8"/>
      <w:footerReference w:type="default" r:id="rId9"/>
      <w:pgSz w:w="11907" w:h="16840" w:code="9"/>
      <w:pgMar w:top="1418" w:right="1418" w:bottom="851" w:left="1418" w:header="709" w:footer="709"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4F6" w:rsidRDefault="00B304F6">
      <w:r>
        <w:separator/>
      </w:r>
    </w:p>
  </w:endnote>
  <w:endnote w:type="continuationSeparator" w:id="0">
    <w:p w:rsidR="00B304F6" w:rsidRDefault="00B3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Cn BT">
    <w:altName w:val="Arial Narrow"/>
    <w:charset w:val="00"/>
    <w:family w:val="swiss"/>
    <w:pitch w:val="variable"/>
    <w:sig w:usb0="00000001" w:usb1="00000000" w:usb2="00000000" w:usb3="00000000" w:csb0="0000001B" w:csb1="00000000"/>
  </w:font>
  <w:font w:name="ClassGarmnd BT">
    <w:altName w:val="Constantia"/>
    <w:charset w:val="00"/>
    <w:family w:val="roman"/>
    <w:pitch w:val="variable"/>
    <w:sig w:usb0="00000001"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211" w:rsidRPr="00C174F4" w:rsidRDefault="003B6211" w:rsidP="00C174F4">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EDD" w:rsidRDefault="009F3EDD" w:rsidP="009F3EDD">
    <w:pPr>
      <w:pStyle w:val="GNFooter"/>
      <w:pBdr>
        <w:top w:val="single" w:sz="4" w:space="1" w:color="auto"/>
      </w:pBdr>
      <w:spacing w:before="180"/>
    </w:pPr>
    <w:r w:rsidRPr="00046802">
      <w:rPr>
        <w:rFonts w:ascii="Arial Narrow" w:hAnsi="Arial Narrow"/>
      </w:rPr>
      <w:t xml:space="preserve">ASX </w:t>
    </w:r>
    <w:r>
      <w:rPr>
        <w:rFonts w:ascii="Arial Narrow" w:hAnsi="Arial Narrow"/>
      </w:rPr>
      <w:t xml:space="preserve">Listing </w:t>
    </w:r>
    <w:r w:rsidRPr="00046802">
      <w:rPr>
        <w:rFonts w:ascii="Arial Narrow" w:hAnsi="Arial Narrow"/>
      </w:rPr>
      <w:t>Information Form and Checklist</w:t>
    </w:r>
    <w:r w:rsidR="00447144">
      <w:rPr>
        <w:rFonts w:ascii="Arial Narrow" w:hAnsi="Arial Narrow"/>
      </w:rPr>
      <w:t xml:space="preserve"> Annexure 1</w:t>
    </w:r>
    <w:r>
      <w:rPr>
        <w:rFonts w:ascii="Arial Narrow" w:hAnsi="Arial Narrow"/>
      </w:rPr>
      <w:t xml:space="preserve"> (</w:t>
    </w:r>
    <w:r w:rsidR="00C86D99">
      <w:rPr>
        <w:rFonts w:ascii="Arial Narrow" w:hAnsi="Arial Narrow"/>
      </w:rPr>
      <w:t>0</w:t>
    </w:r>
    <w:r w:rsidR="00E503B3">
      <w:rPr>
        <w:rFonts w:ascii="Arial Narrow" w:hAnsi="Arial Narrow"/>
      </w:rPr>
      <w:t>1</w:t>
    </w:r>
    <w:r>
      <w:rPr>
        <w:rFonts w:ascii="Arial Narrow" w:hAnsi="Arial Narrow"/>
      </w:rPr>
      <w:t>/</w:t>
    </w:r>
    <w:r w:rsidR="00E503B3">
      <w:rPr>
        <w:rFonts w:ascii="Arial Narrow" w:hAnsi="Arial Narrow"/>
      </w:rPr>
      <w:t>1</w:t>
    </w:r>
    <w:r w:rsidR="00C86D99">
      <w:rPr>
        <w:rFonts w:ascii="Arial Narrow" w:hAnsi="Arial Narrow"/>
      </w:rPr>
      <w:t>2</w:t>
    </w:r>
    <w:r>
      <w:rPr>
        <w:rFonts w:ascii="Arial Narrow" w:hAnsi="Arial Narrow"/>
      </w:rPr>
      <w:t>/1</w:t>
    </w:r>
    <w:r w:rsidR="00C86D99">
      <w:rPr>
        <w:rFonts w:ascii="Arial Narrow" w:hAnsi="Arial Narrow"/>
      </w:rPr>
      <w:t>9</w:t>
    </w:r>
    <w:r>
      <w:rPr>
        <w:rFonts w:ascii="Arial Narrow" w:hAnsi="Arial Narrow"/>
      </w:rPr>
      <w:t>)</w:t>
    </w:r>
    <w:r w:rsidRPr="00046802">
      <w:rPr>
        <w:rFonts w:ascii="Arial Narrow" w:hAnsi="Arial Narrow"/>
      </w:rPr>
      <w:tab/>
    </w:r>
    <w:r w:rsidRPr="00046802">
      <w:rPr>
        <w:rFonts w:ascii="Arial Narrow" w:hAnsi="Arial Narrow"/>
      </w:rPr>
      <w:tab/>
      <w:t xml:space="preserve">Page </w:t>
    </w:r>
    <w:r w:rsidRPr="00046802">
      <w:rPr>
        <w:rStyle w:val="PageNumber"/>
        <w:rFonts w:ascii="Arial Narrow" w:hAnsi="Arial Narrow"/>
      </w:rPr>
      <w:fldChar w:fldCharType="begin"/>
    </w:r>
    <w:r w:rsidRPr="00046802">
      <w:rPr>
        <w:rStyle w:val="PageNumber"/>
        <w:rFonts w:ascii="Arial Narrow" w:hAnsi="Arial Narrow"/>
      </w:rPr>
      <w:instrText xml:space="preserve"> PAGE </w:instrText>
    </w:r>
    <w:r w:rsidRPr="00046802">
      <w:rPr>
        <w:rStyle w:val="PageNumber"/>
        <w:rFonts w:ascii="Arial Narrow" w:hAnsi="Arial Narrow"/>
      </w:rPr>
      <w:fldChar w:fldCharType="separate"/>
    </w:r>
    <w:r w:rsidR="00B00E63">
      <w:rPr>
        <w:rStyle w:val="PageNumber"/>
        <w:rFonts w:ascii="Arial Narrow" w:hAnsi="Arial Narrow"/>
        <w:noProof/>
      </w:rPr>
      <w:t>12</w:t>
    </w:r>
    <w:r w:rsidRPr="00046802">
      <w:rPr>
        <w:rStyle w:val="PageNumbe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4F6" w:rsidRDefault="00B304F6">
      <w:r>
        <w:separator/>
      </w:r>
    </w:p>
  </w:footnote>
  <w:footnote w:type="continuationSeparator" w:id="0">
    <w:p w:rsidR="00B304F6" w:rsidRDefault="00B304F6">
      <w:r>
        <w:continuationSeparator/>
      </w:r>
    </w:p>
  </w:footnote>
  <w:footnote w:type="continuationNotice" w:id="1">
    <w:p w:rsidR="00B304F6" w:rsidRPr="00C23829" w:rsidRDefault="00B304F6" w:rsidP="00C23829">
      <w:pPr>
        <w:jc w:val="right"/>
        <w:rPr>
          <w:rFonts w:ascii="Arial Narrow" w:hAnsi="Arial Narrow"/>
          <w:sz w:val="18"/>
          <w:szCs w:val="18"/>
        </w:rPr>
      </w:pPr>
      <w:r>
        <w:rPr>
          <w:rFonts w:ascii="Arial Narrow" w:hAnsi="Arial Narrow"/>
          <w:sz w:val="18"/>
          <w:szCs w:val="18"/>
        </w:rPr>
        <w:t>/c</w:t>
      </w:r>
      <w:r w:rsidRPr="00C23829">
        <w:rPr>
          <w:rFonts w:ascii="Arial Narrow" w:hAnsi="Arial Narrow"/>
          <w:sz w:val="18"/>
          <w:szCs w:val="18"/>
        </w:rPr>
        <w:t>ont.</w:t>
      </w:r>
    </w:p>
  </w:footnote>
  <w:footnote w:id="2">
    <w:p w:rsidR="003B6211" w:rsidRPr="0032734C" w:rsidRDefault="003B6211" w:rsidP="00710666">
      <w:pPr>
        <w:tabs>
          <w:tab w:val="left" w:pos="284"/>
        </w:tabs>
        <w:spacing w:after="60"/>
        <w:ind w:left="284" w:hanging="284"/>
        <w:jc w:val="left"/>
        <w:rPr>
          <w:rFonts w:ascii="Arial Narrow" w:hAnsi="Arial Narrow"/>
          <w:color w:val="000000"/>
          <w:sz w:val="18"/>
          <w:szCs w:val="18"/>
          <w:lang w:val="en-AU"/>
        </w:rPr>
      </w:pPr>
      <w:r w:rsidRPr="00710666">
        <w:rPr>
          <w:rStyle w:val="FootnoteReference"/>
          <w:rFonts w:ascii="Arial Narrow" w:hAnsi="Arial Narrow"/>
          <w:position w:val="0"/>
          <w:szCs w:val="16"/>
          <w:vertAlign w:val="superscript"/>
        </w:rPr>
        <w:footnoteRef/>
      </w:r>
      <w:r w:rsidRPr="0032734C">
        <w:rPr>
          <w:rFonts w:ascii="Arial Narrow" w:hAnsi="Arial Narrow"/>
          <w:color w:val="000000"/>
          <w:sz w:val="18"/>
          <w:szCs w:val="18"/>
          <w:lang w:val="en-AU"/>
        </w:rPr>
        <w:tab/>
      </w:r>
      <w:r>
        <w:rPr>
          <w:rFonts w:ascii="Arial Narrow" w:hAnsi="Arial Narrow"/>
          <w:color w:val="000000"/>
          <w:sz w:val="18"/>
          <w:szCs w:val="18"/>
          <w:lang w:val="en-AU"/>
        </w:rPr>
        <w:t xml:space="preserve">The </w:t>
      </w:r>
      <w:r w:rsidR="00ED09EF">
        <w:rPr>
          <w:rFonts w:ascii="Arial Narrow" w:hAnsi="Arial Narrow"/>
          <w:color w:val="000000"/>
          <w:sz w:val="18"/>
          <w:szCs w:val="18"/>
          <w:lang w:val="en-AU"/>
        </w:rPr>
        <w:t>O</w:t>
      </w:r>
      <w:r>
        <w:rPr>
          <w:rFonts w:ascii="Arial Narrow" w:hAnsi="Arial Narrow"/>
          <w:color w:val="000000"/>
          <w:sz w:val="18"/>
          <w:szCs w:val="18"/>
          <w:lang w:val="en-AU"/>
        </w:rPr>
        <w:t>ffer Document mus</w:t>
      </w:r>
      <w:r w:rsidRPr="009153D8">
        <w:rPr>
          <w:rFonts w:ascii="Arial Narrow" w:hAnsi="Arial Narrow"/>
          <w:color w:val="000000"/>
          <w:sz w:val="18"/>
          <w:szCs w:val="18"/>
          <w:lang w:val="en-AU"/>
        </w:rPr>
        <w:t>t use terminology cons</w:t>
      </w:r>
      <w:r>
        <w:rPr>
          <w:rFonts w:ascii="Arial Narrow" w:hAnsi="Arial Narrow"/>
          <w:color w:val="000000"/>
          <w:sz w:val="18"/>
          <w:szCs w:val="18"/>
          <w:lang w:val="en-AU"/>
        </w:rPr>
        <w:t>istent with the terms in Figure </w:t>
      </w:r>
      <w:r w:rsidRPr="009153D8">
        <w:rPr>
          <w:rFonts w:ascii="Arial Narrow" w:hAnsi="Arial Narrow"/>
          <w:color w:val="000000"/>
          <w:sz w:val="18"/>
          <w:szCs w:val="18"/>
          <w:lang w:val="en-AU"/>
        </w:rPr>
        <w:t>1 of JORC. Terms such as ‘</w:t>
      </w:r>
      <w:r>
        <w:rPr>
          <w:rFonts w:ascii="Arial Narrow" w:hAnsi="Arial Narrow"/>
          <w:color w:val="000000"/>
          <w:sz w:val="18"/>
          <w:szCs w:val="18"/>
          <w:lang w:val="en-AU"/>
        </w:rPr>
        <w:t>m</w:t>
      </w:r>
      <w:r w:rsidRPr="009153D8">
        <w:rPr>
          <w:rFonts w:ascii="Arial Narrow" w:hAnsi="Arial Narrow"/>
          <w:color w:val="000000"/>
          <w:sz w:val="18"/>
          <w:szCs w:val="18"/>
          <w:lang w:val="en-AU"/>
        </w:rPr>
        <w:t xml:space="preserve">ining </w:t>
      </w:r>
      <w:r>
        <w:rPr>
          <w:rFonts w:ascii="Arial Narrow" w:hAnsi="Arial Narrow"/>
          <w:color w:val="000000"/>
          <w:sz w:val="18"/>
          <w:szCs w:val="18"/>
          <w:lang w:val="en-AU"/>
        </w:rPr>
        <w:t>i</w:t>
      </w:r>
      <w:r w:rsidRPr="009153D8">
        <w:rPr>
          <w:rFonts w:ascii="Arial Narrow" w:hAnsi="Arial Narrow"/>
          <w:color w:val="000000"/>
          <w:sz w:val="18"/>
          <w:szCs w:val="18"/>
          <w:lang w:val="en-AU"/>
        </w:rPr>
        <w:t>nventory’ or ‘</w:t>
      </w:r>
      <w:r>
        <w:rPr>
          <w:rFonts w:ascii="Arial Narrow" w:hAnsi="Arial Narrow"/>
          <w:color w:val="000000"/>
          <w:sz w:val="18"/>
          <w:szCs w:val="18"/>
          <w:lang w:val="en-AU"/>
        </w:rPr>
        <w:t>m</w:t>
      </w:r>
      <w:r w:rsidRPr="009153D8">
        <w:rPr>
          <w:rFonts w:ascii="Arial Narrow" w:hAnsi="Arial Narrow"/>
          <w:color w:val="000000"/>
          <w:sz w:val="18"/>
          <w:szCs w:val="18"/>
          <w:lang w:val="en-AU"/>
        </w:rPr>
        <w:t xml:space="preserve">ineable </w:t>
      </w:r>
      <w:r>
        <w:rPr>
          <w:rFonts w:ascii="Arial Narrow" w:hAnsi="Arial Narrow"/>
          <w:color w:val="000000"/>
          <w:sz w:val="18"/>
          <w:szCs w:val="18"/>
          <w:lang w:val="en-AU"/>
        </w:rPr>
        <w:t>r</w:t>
      </w:r>
      <w:r w:rsidRPr="009153D8">
        <w:rPr>
          <w:rFonts w:ascii="Arial Narrow" w:hAnsi="Arial Narrow"/>
          <w:color w:val="000000"/>
          <w:sz w:val="18"/>
          <w:szCs w:val="18"/>
          <w:lang w:val="en-AU"/>
        </w:rPr>
        <w:t>esource’ are not allowed</w:t>
      </w:r>
      <w:r>
        <w:rPr>
          <w:rFonts w:ascii="Arial Narrow" w:hAnsi="Arial Narrow"/>
          <w:color w:val="000000"/>
          <w:sz w:val="18"/>
          <w:szCs w:val="18"/>
          <w:lang w:val="en-AU"/>
        </w:rPr>
        <w:t>.</w:t>
      </w:r>
    </w:p>
  </w:footnote>
  <w:footnote w:id="3">
    <w:p w:rsidR="00592D86" w:rsidRPr="0032734C" w:rsidRDefault="00592D86" w:rsidP="00710666">
      <w:pPr>
        <w:pStyle w:val="Default"/>
        <w:spacing w:after="60"/>
        <w:ind w:left="284" w:hanging="284"/>
        <w:rPr>
          <w:rFonts w:ascii="Arial Narrow" w:hAnsi="Arial Narrow"/>
          <w:sz w:val="18"/>
          <w:szCs w:val="18"/>
        </w:rPr>
      </w:pPr>
      <w:r w:rsidRPr="00710666">
        <w:rPr>
          <w:rStyle w:val="FootnoteReference"/>
          <w:rFonts w:ascii="Arial Narrow" w:hAnsi="Arial Narrow" w:cs="Times New Roman"/>
          <w:color w:val="auto"/>
          <w:position w:val="0"/>
          <w:szCs w:val="16"/>
          <w:vertAlign w:val="superscript"/>
          <w:lang w:val="en-GB" w:eastAsia="en-US"/>
        </w:rPr>
        <w:footnoteRef/>
      </w:r>
      <w:r w:rsidRPr="0032734C">
        <w:rPr>
          <w:rFonts w:ascii="Arial Narrow" w:hAnsi="Arial Narrow"/>
          <w:sz w:val="18"/>
          <w:szCs w:val="18"/>
        </w:rPr>
        <w:tab/>
      </w:r>
      <w:r>
        <w:rPr>
          <w:rFonts w:ascii="Arial Narrow" w:hAnsi="Arial Narrow"/>
          <w:sz w:val="18"/>
          <w:szCs w:val="18"/>
        </w:rPr>
        <w:t xml:space="preserve">JORC clause 11 </w:t>
      </w:r>
      <w:r w:rsidRPr="002F1592">
        <w:rPr>
          <w:rFonts w:ascii="Arial Narrow" w:hAnsi="Arial Narrow" w:cs="Times New Roman"/>
          <w:sz w:val="18"/>
          <w:szCs w:val="18"/>
          <w:lang w:eastAsia="en-US"/>
        </w:rPr>
        <w:t>defines a ‘</w:t>
      </w:r>
      <w:r>
        <w:rPr>
          <w:rFonts w:ascii="Arial Narrow" w:hAnsi="Arial Narrow" w:cs="Times New Roman"/>
          <w:sz w:val="18"/>
          <w:szCs w:val="18"/>
          <w:lang w:eastAsia="en-US"/>
        </w:rPr>
        <w:t>c</w:t>
      </w:r>
      <w:r w:rsidRPr="002F1592">
        <w:rPr>
          <w:rFonts w:ascii="Arial Narrow" w:hAnsi="Arial Narrow" w:cs="Times New Roman"/>
          <w:sz w:val="18"/>
          <w:szCs w:val="18"/>
          <w:lang w:eastAsia="en-US"/>
        </w:rPr>
        <w:t xml:space="preserve">ompetent </w:t>
      </w:r>
      <w:r>
        <w:rPr>
          <w:rFonts w:ascii="Arial Narrow" w:hAnsi="Arial Narrow" w:cs="Times New Roman"/>
          <w:sz w:val="18"/>
          <w:szCs w:val="18"/>
          <w:lang w:eastAsia="en-US"/>
        </w:rPr>
        <w:t>p</w:t>
      </w:r>
      <w:r w:rsidRPr="002F1592">
        <w:rPr>
          <w:rFonts w:ascii="Arial Narrow" w:hAnsi="Arial Narrow" w:cs="Times New Roman"/>
          <w:sz w:val="18"/>
          <w:szCs w:val="18"/>
          <w:lang w:eastAsia="en-US"/>
        </w:rPr>
        <w:t>erson’ as a minerals industry professional who is a Member or Fellow of The Australasian Institute of Mining and Metallurgy, or of the Australian Institute of Geoscientists, or of a ‘Recognised Professional Organisation’, as included in a list available on the JORC and ASX websites.</w:t>
      </w:r>
      <w:r>
        <w:rPr>
          <w:rFonts w:ascii="Arial Narrow" w:hAnsi="Arial Narrow" w:cs="Times New Roman"/>
          <w:sz w:val="18"/>
          <w:szCs w:val="18"/>
          <w:lang w:eastAsia="en-US"/>
        </w:rPr>
        <w:t xml:space="preserve"> The</w:t>
      </w:r>
      <w:r w:rsidRPr="002F1592">
        <w:rPr>
          <w:rFonts w:ascii="Arial Narrow" w:hAnsi="Arial Narrow" w:cs="Times New Roman"/>
          <w:sz w:val="18"/>
          <w:szCs w:val="18"/>
          <w:lang w:eastAsia="en-US"/>
        </w:rPr>
        <w:t xml:space="preserve"> </w:t>
      </w:r>
      <w:r>
        <w:rPr>
          <w:rFonts w:ascii="Arial Narrow" w:hAnsi="Arial Narrow" w:cs="Times New Roman"/>
          <w:sz w:val="18"/>
          <w:szCs w:val="18"/>
          <w:lang w:eastAsia="en-US"/>
        </w:rPr>
        <w:t>p</w:t>
      </w:r>
      <w:r w:rsidRPr="002F1592">
        <w:rPr>
          <w:rFonts w:ascii="Arial Narrow" w:hAnsi="Arial Narrow" w:cs="Times New Roman"/>
          <w:sz w:val="18"/>
          <w:szCs w:val="18"/>
          <w:lang w:eastAsia="en-US"/>
        </w:rPr>
        <w:t>erson must have a minimum of five years relevant experience in the style of mineralisation or type of deposit under consideration and in the activity which that person is undertaking.</w:t>
      </w:r>
      <w:r>
        <w:rPr>
          <w:rFonts w:ascii="Arial Narrow" w:hAnsi="Arial Narrow" w:cs="Times New Roman"/>
          <w:sz w:val="18"/>
          <w:szCs w:val="18"/>
          <w:lang w:eastAsia="en-US"/>
        </w:rPr>
        <w:t xml:space="preserve"> </w:t>
      </w:r>
      <w:r w:rsidRPr="002F1592">
        <w:rPr>
          <w:rFonts w:ascii="Arial Narrow" w:hAnsi="Arial Narrow"/>
          <w:sz w:val="18"/>
          <w:szCs w:val="18"/>
        </w:rPr>
        <w:t xml:space="preserve">If the </w:t>
      </w:r>
      <w:r>
        <w:rPr>
          <w:rFonts w:ascii="Arial Narrow" w:hAnsi="Arial Narrow"/>
          <w:sz w:val="18"/>
          <w:szCs w:val="18"/>
        </w:rPr>
        <w:t>competent p</w:t>
      </w:r>
      <w:r w:rsidRPr="002F1592">
        <w:rPr>
          <w:rFonts w:ascii="Arial Narrow" w:hAnsi="Arial Narrow"/>
          <w:sz w:val="18"/>
          <w:szCs w:val="18"/>
        </w:rPr>
        <w:t>erson</w:t>
      </w:r>
      <w:r>
        <w:rPr>
          <w:rFonts w:ascii="Arial Narrow" w:hAnsi="Arial Narrow"/>
          <w:sz w:val="18"/>
          <w:szCs w:val="18"/>
        </w:rPr>
        <w:t xml:space="preserve"> is preparing documentation on e</w:t>
      </w:r>
      <w:r w:rsidRPr="002F1592">
        <w:rPr>
          <w:rFonts w:ascii="Arial Narrow" w:hAnsi="Arial Narrow"/>
          <w:sz w:val="18"/>
          <w:szCs w:val="18"/>
        </w:rPr>
        <w:t xml:space="preserve">xploration </w:t>
      </w:r>
      <w:r>
        <w:rPr>
          <w:rFonts w:ascii="Arial Narrow" w:hAnsi="Arial Narrow"/>
          <w:sz w:val="18"/>
          <w:szCs w:val="18"/>
        </w:rPr>
        <w:t>r</w:t>
      </w:r>
      <w:r w:rsidRPr="002F1592">
        <w:rPr>
          <w:rFonts w:ascii="Arial Narrow" w:hAnsi="Arial Narrow"/>
          <w:sz w:val="18"/>
          <w:szCs w:val="18"/>
        </w:rPr>
        <w:t xml:space="preserve">esults, the relevant experience must be in exploration. If the </w:t>
      </w:r>
      <w:r>
        <w:rPr>
          <w:rFonts w:ascii="Arial Narrow" w:hAnsi="Arial Narrow"/>
          <w:sz w:val="18"/>
          <w:szCs w:val="18"/>
        </w:rPr>
        <w:t>competent p</w:t>
      </w:r>
      <w:r w:rsidRPr="002F1592">
        <w:rPr>
          <w:rFonts w:ascii="Arial Narrow" w:hAnsi="Arial Narrow"/>
          <w:sz w:val="18"/>
          <w:szCs w:val="18"/>
        </w:rPr>
        <w:t>erson is estimating, or</w:t>
      </w:r>
      <w:r>
        <w:rPr>
          <w:rFonts w:ascii="Arial Narrow" w:hAnsi="Arial Narrow"/>
          <w:sz w:val="18"/>
          <w:szCs w:val="18"/>
        </w:rPr>
        <w:t xml:space="preserve"> supervising the estimation of mineral r</w:t>
      </w:r>
      <w:r w:rsidRPr="002F1592">
        <w:rPr>
          <w:rFonts w:ascii="Arial Narrow" w:hAnsi="Arial Narrow"/>
          <w:sz w:val="18"/>
          <w:szCs w:val="18"/>
        </w:rPr>
        <w:t xml:space="preserve">esources, the relevant experience must be in the estimation, assessment and evaluation of </w:t>
      </w:r>
      <w:r>
        <w:rPr>
          <w:rFonts w:ascii="Arial Narrow" w:hAnsi="Arial Narrow"/>
          <w:sz w:val="18"/>
          <w:szCs w:val="18"/>
        </w:rPr>
        <w:t>m</w:t>
      </w:r>
      <w:r w:rsidRPr="002F1592">
        <w:rPr>
          <w:rFonts w:ascii="Arial Narrow" w:hAnsi="Arial Narrow"/>
          <w:sz w:val="18"/>
          <w:szCs w:val="18"/>
        </w:rPr>
        <w:t xml:space="preserve">ineral </w:t>
      </w:r>
      <w:r>
        <w:rPr>
          <w:rFonts w:ascii="Arial Narrow" w:hAnsi="Arial Narrow"/>
          <w:sz w:val="18"/>
          <w:szCs w:val="18"/>
        </w:rPr>
        <w:t>r</w:t>
      </w:r>
      <w:r w:rsidRPr="002F1592">
        <w:rPr>
          <w:rFonts w:ascii="Arial Narrow" w:hAnsi="Arial Narrow"/>
          <w:sz w:val="18"/>
          <w:szCs w:val="18"/>
        </w:rPr>
        <w:t>esources. I</w:t>
      </w:r>
      <w:r>
        <w:rPr>
          <w:rFonts w:ascii="Arial Narrow" w:hAnsi="Arial Narrow"/>
          <w:sz w:val="18"/>
          <w:szCs w:val="18"/>
        </w:rPr>
        <w:t>f the competent p</w:t>
      </w:r>
      <w:r w:rsidRPr="002F1592">
        <w:rPr>
          <w:rFonts w:ascii="Arial Narrow" w:hAnsi="Arial Narrow"/>
          <w:sz w:val="18"/>
          <w:szCs w:val="18"/>
        </w:rPr>
        <w:t>erson is estimating, or</w:t>
      </w:r>
      <w:r>
        <w:rPr>
          <w:rFonts w:ascii="Arial Narrow" w:hAnsi="Arial Narrow"/>
          <w:sz w:val="18"/>
          <w:szCs w:val="18"/>
        </w:rPr>
        <w:t xml:space="preserve"> supervising the estimation of o</w:t>
      </w:r>
      <w:r w:rsidRPr="002F1592">
        <w:rPr>
          <w:rFonts w:ascii="Arial Narrow" w:hAnsi="Arial Narrow"/>
          <w:sz w:val="18"/>
          <w:szCs w:val="18"/>
        </w:rPr>
        <w:t xml:space="preserve">re </w:t>
      </w:r>
      <w:r>
        <w:rPr>
          <w:rFonts w:ascii="Arial Narrow" w:hAnsi="Arial Narrow"/>
          <w:sz w:val="18"/>
          <w:szCs w:val="18"/>
        </w:rPr>
        <w:t>r</w:t>
      </w:r>
      <w:r w:rsidRPr="002F1592">
        <w:rPr>
          <w:rFonts w:ascii="Arial Narrow" w:hAnsi="Arial Narrow"/>
          <w:sz w:val="18"/>
          <w:szCs w:val="18"/>
        </w:rPr>
        <w:t xml:space="preserve">eserves, the relevant experience must be in the estimation, assessment, evaluation and economic extraction of </w:t>
      </w:r>
      <w:r>
        <w:rPr>
          <w:rFonts w:ascii="Arial Narrow" w:hAnsi="Arial Narrow"/>
          <w:sz w:val="18"/>
          <w:szCs w:val="18"/>
        </w:rPr>
        <w:t>o</w:t>
      </w:r>
      <w:r w:rsidRPr="002F1592">
        <w:rPr>
          <w:rFonts w:ascii="Arial Narrow" w:hAnsi="Arial Narrow"/>
          <w:sz w:val="18"/>
          <w:szCs w:val="18"/>
        </w:rPr>
        <w:t xml:space="preserve">re </w:t>
      </w:r>
      <w:r>
        <w:rPr>
          <w:rFonts w:ascii="Arial Narrow" w:hAnsi="Arial Narrow"/>
          <w:sz w:val="18"/>
          <w:szCs w:val="18"/>
        </w:rPr>
        <w:t>r</w:t>
      </w:r>
      <w:r w:rsidRPr="002F1592">
        <w:rPr>
          <w:rFonts w:ascii="Arial Narrow" w:hAnsi="Arial Narrow"/>
          <w:sz w:val="18"/>
          <w:szCs w:val="18"/>
        </w:rPr>
        <w:t>eserves.</w:t>
      </w:r>
    </w:p>
  </w:footnote>
  <w:footnote w:id="4">
    <w:p w:rsidR="003B6211" w:rsidRPr="0072256D" w:rsidRDefault="003B6211" w:rsidP="00710666">
      <w:pPr>
        <w:pStyle w:val="FootnoteText"/>
        <w:spacing w:after="60"/>
        <w:ind w:left="284" w:hanging="284"/>
        <w:jc w:val="left"/>
        <w:rPr>
          <w:rFonts w:ascii="Arial Narrow" w:hAnsi="Arial Narrow"/>
          <w:color w:val="000000"/>
          <w:sz w:val="18"/>
          <w:szCs w:val="18"/>
          <w:lang w:val="en-AU"/>
        </w:rPr>
      </w:pPr>
      <w:r w:rsidRPr="00710666">
        <w:rPr>
          <w:rStyle w:val="FootnoteReference"/>
          <w:rFonts w:ascii="Arial Narrow" w:hAnsi="Arial Narrow"/>
          <w:position w:val="0"/>
          <w:szCs w:val="16"/>
          <w:vertAlign w:val="superscript"/>
        </w:rPr>
        <w:footnoteRef/>
      </w:r>
      <w:r>
        <w:tab/>
      </w:r>
      <w:r w:rsidRPr="0072256D">
        <w:rPr>
          <w:rFonts w:ascii="Arial Narrow" w:hAnsi="Arial Narrow"/>
          <w:color w:val="000000"/>
          <w:sz w:val="18"/>
          <w:szCs w:val="18"/>
          <w:lang w:val="en-AU"/>
        </w:rPr>
        <w:t>Actual assumed prices should be disclosed. It is not sufficient to refer to a “spot price”</w:t>
      </w:r>
      <w:r>
        <w:rPr>
          <w:rFonts w:ascii="Arial Narrow" w:hAnsi="Arial Narrow"/>
          <w:color w:val="000000"/>
          <w:sz w:val="18"/>
          <w:szCs w:val="18"/>
          <w:lang w:val="en-AU"/>
        </w:rPr>
        <w:t>,</w:t>
      </w:r>
      <w:r w:rsidRPr="0072256D">
        <w:rPr>
          <w:rFonts w:ascii="Arial Narrow" w:hAnsi="Arial Narrow"/>
          <w:color w:val="000000"/>
          <w:sz w:val="18"/>
          <w:szCs w:val="18"/>
          <w:lang w:val="en-AU"/>
        </w:rPr>
        <w:t xml:space="preserve"> without disclosing the actual price in question</w:t>
      </w:r>
      <w:r w:rsidR="00B2153A">
        <w:rPr>
          <w:rFonts w:ascii="Arial Narrow" w:hAnsi="Arial Narrow"/>
          <w:color w:val="000000"/>
          <w:sz w:val="18"/>
          <w:szCs w:val="18"/>
          <w:lang w:val="en-AU"/>
        </w:rPr>
        <w:t>.</w:t>
      </w:r>
      <w:r w:rsidRPr="0072256D">
        <w:rPr>
          <w:rFonts w:ascii="Arial Narrow" w:hAnsi="Arial Narrow"/>
          <w:color w:val="000000"/>
          <w:sz w:val="18"/>
          <w:szCs w:val="18"/>
          <w:lang w:val="en-AU"/>
        </w:rPr>
        <w:t xml:space="preserve"> Where the actual </w:t>
      </w:r>
      <w:r>
        <w:rPr>
          <w:rFonts w:ascii="Arial Narrow" w:hAnsi="Arial Narrow"/>
          <w:color w:val="000000"/>
          <w:sz w:val="18"/>
          <w:szCs w:val="18"/>
          <w:lang w:val="en-AU"/>
        </w:rPr>
        <w:t xml:space="preserve">assumed </w:t>
      </w:r>
      <w:r w:rsidRPr="0072256D">
        <w:rPr>
          <w:rFonts w:ascii="Arial Narrow" w:hAnsi="Arial Narrow"/>
          <w:color w:val="000000"/>
          <w:sz w:val="18"/>
          <w:szCs w:val="18"/>
          <w:lang w:val="en-AU"/>
        </w:rPr>
        <w:t xml:space="preserve">prices used are said to be commercially sensitive, the </w:t>
      </w:r>
      <w:r>
        <w:rPr>
          <w:rFonts w:ascii="Arial Narrow" w:hAnsi="Arial Narrow"/>
          <w:color w:val="000000"/>
          <w:sz w:val="18"/>
          <w:szCs w:val="18"/>
          <w:lang w:val="en-AU"/>
        </w:rPr>
        <w:t>e</w:t>
      </w:r>
      <w:r w:rsidRPr="0072256D">
        <w:rPr>
          <w:rFonts w:ascii="Arial Narrow" w:hAnsi="Arial Narrow"/>
          <w:color w:val="000000"/>
          <w:sz w:val="18"/>
          <w:szCs w:val="18"/>
          <w:lang w:val="en-AU"/>
        </w:rPr>
        <w:t>ntity must disclose sufficient information, perhaps in narrative rather than numerical form, for investors to understand the methodology it has used to determine these prices.</w:t>
      </w:r>
    </w:p>
  </w:footnote>
  <w:footnote w:id="5">
    <w:p w:rsidR="003B6211" w:rsidRPr="00BD44EE" w:rsidRDefault="003B6211" w:rsidP="00710666">
      <w:pPr>
        <w:pStyle w:val="FootnoteText"/>
        <w:spacing w:after="60"/>
        <w:ind w:left="284" w:hanging="284"/>
        <w:jc w:val="left"/>
        <w:rPr>
          <w:rFonts w:ascii="Arial Narrow" w:hAnsi="Arial Narrow"/>
          <w:color w:val="000000"/>
          <w:sz w:val="18"/>
          <w:szCs w:val="18"/>
          <w:lang w:val="en-AU"/>
        </w:rPr>
      </w:pPr>
      <w:r w:rsidRPr="00710666">
        <w:rPr>
          <w:rStyle w:val="FootnoteReference"/>
          <w:rFonts w:ascii="Arial Narrow" w:hAnsi="Arial Narrow"/>
          <w:position w:val="0"/>
          <w:szCs w:val="16"/>
          <w:vertAlign w:val="superscript"/>
        </w:rPr>
        <w:footnoteRef/>
      </w:r>
      <w:r>
        <w:tab/>
      </w:r>
      <w:r w:rsidRPr="00BD44EE">
        <w:rPr>
          <w:rFonts w:ascii="Arial Narrow" w:hAnsi="Arial Narrow"/>
          <w:color w:val="000000"/>
          <w:sz w:val="18"/>
          <w:szCs w:val="18"/>
          <w:lang w:val="en-AU"/>
        </w:rPr>
        <w:t>Estimates of metallurgical recoveries for each metal must be used to calculate meaningful metal equivalents. Reporting on the basis of metal equivalents is not appropriate if metallurgical recovery information is not available or able to be estimated with reasonable confidence.</w:t>
      </w:r>
    </w:p>
  </w:footnote>
  <w:footnote w:id="6">
    <w:p w:rsidR="003B6211" w:rsidRPr="008A292F" w:rsidRDefault="003B6211" w:rsidP="00710666">
      <w:pPr>
        <w:pStyle w:val="FootnoteText"/>
        <w:spacing w:after="60"/>
        <w:ind w:left="284" w:hanging="284"/>
        <w:jc w:val="left"/>
        <w:rPr>
          <w:rFonts w:ascii="Arial Narrow" w:hAnsi="Arial Narrow"/>
          <w:sz w:val="18"/>
          <w:szCs w:val="18"/>
        </w:rPr>
      </w:pPr>
      <w:r w:rsidRPr="00710666">
        <w:rPr>
          <w:rStyle w:val="FootnoteReference"/>
          <w:rFonts w:ascii="Arial Narrow" w:hAnsi="Arial Narrow"/>
          <w:position w:val="0"/>
          <w:szCs w:val="16"/>
          <w:vertAlign w:val="superscript"/>
        </w:rPr>
        <w:footnoteRef/>
      </w:r>
      <w:r>
        <w:rPr>
          <w:rFonts w:ascii="Arial Narrow" w:hAnsi="Arial Narrow"/>
        </w:rPr>
        <w:tab/>
      </w:r>
      <w:r w:rsidRPr="000A65ED">
        <w:rPr>
          <w:rFonts w:ascii="Arial Narrow" w:hAnsi="Arial Narrow"/>
          <w:sz w:val="18"/>
          <w:szCs w:val="18"/>
        </w:rPr>
        <w:t xml:space="preserve">Note that the </w:t>
      </w:r>
      <w:r>
        <w:rPr>
          <w:rFonts w:ascii="Arial Narrow" w:hAnsi="Arial Narrow"/>
          <w:sz w:val="18"/>
          <w:szCs w:val="18"/>
        </w:rPr>
        <w:t>clarification</w:t>
      </w:r>
      <w:r w:rsidRPr="000A65ED">
        <w:rPr>
          <w:rFonts w:ascii="Arial Narrow" w:hAnsi="Arial Narrow"/>
          <w:sz w:val="18"/>
          <w:szCs w:val="18"/>
        </w:rPr>
        <w:t xml:space="preserve"> statement </w:t>
      </w:r>
      <w:r w:rsidRPr="008A292F">
        <w:rPr>
          <w:rFonts w:ascii="Arial Narrow" w:hAnsi="Arial Narrow"/>
          <w:sz w:val="18"/>
          <w:szCs w:val="18"/>
        </w:rPr>
        <w:t xml:space="preserve">must be within the same paragraph as the first reference </w:t>
      </w:r>
      <w:r>
        <w:rPr>
          <w:rFonts w:ascii="Arial Narrow" w:hAnsi="Arial Narrow"/>
          <w:sz w:val="18"/>
          <w:szCs w:val="18"/>
        </w:rPr>
        <w:t>t</w:t>
      </w:r>
      <w:r w:rsidRPr="008A292F">
        <w:rPr>
          <w:rFonts w:ascii="Arial Narrow" w:hAnsi="Arial Narrow"/>
          <w:sz w:val="18"/>
          <w:szCs w:val="18"/>
        </w:rPr>
        <w:t>o the exploration target in the Offer Document.</w:t>
      </w:r>
    </w:p>
  </w:footnote>
  <w:footnote w:id="7">
    <w:p w:rsidR="003B6211" w:rsidRPr="0072256D" w:rsidRDefault="003B6211" w:rsidP="00710666">
      <w:pPr>
        <w:pStyle w:val="FootnoteText"/>
        <w:spacing w:after="60"/>
        <w:ind w:left="284" w:hanging="284"/>
        <w:jc w:val="left"/>
        <w:rPr>
          <w:rFonts w:ascii="Arial Narrow" w:hAnsi="Arial Narrow"/>
          <w:sz w:val="18"/>
          <w:szCs w:val="18"/>
          <w:lang w:val="en-AU"/>
        </w:rPr>
      </w:pPr>
      <w:r w:rsidRPr="00710666">
        <w:rPr>
          <w:rStyle w:val="FootnoteReference"/>
          <w:rFonts w:ascii="Arial Narrow" w:hAnsi="Arial Narrow"/>
          <w:position w:val="0"/>
          <w:szCs w:val="16"/>
          <w:vertAlign w:val="superscript"/>
        </w:rPr>
        <w:footnoteRef/>
      </w:r>
      <w:r>
        <w:tab/>
      </w:r>
      <w:r w:rsidRPr="0072256D">
        <w:rPr>
          <w:rFonts w:ascii="Arial Narrow" w:hAnsi="Arial Narrow" w:cs="Arial"/>
          <w:sz w:val="18"/>
          <w:szCs w:val="18"/>
        </w:rPr>
        <w:t xml:space="preserve">If an </w:t>
      </w:r>
      <w:r>
        <w:rPr>
          <w:rFonts w:ascii="Arial Narrow" w:hAnsi="Arial Narrow" w:cs="Arial"/>
          <w:sz w:val="18"/>
          <w:szCs w:val="18"/>
        </w:rPr>
        <w:t>e</w:t>
      </w:r>
      <w:r w:rsidRPr="0072256D">
        <w:rPr>
          <w:rFonts w:ascii="Arial Narrow" w:hAnsi="Arial Narrow" w:cs="Arial"/>
          <w:sz w:val="18"/>
          <w:szCs w:val="18"/>
        </w:rPr>
        <w:t xml:space="preserve">ntity that determines that any of the criteria is not material to understanding the </w:t>
      </w:r>
      <w:r>
        <w:rPr>
          <w:rFonts w:ascii="Arial Narrow" w:hAnsi="Arial Narrow" w:cs="Arial"/>
          <w:sz w:val="18"/>
          <w:szCs w:val="18"/>
        </w:rPr>
        <w:t>exploration results</w:t>
      </w:r>
      <w:r w:rsidRPr="0072256D">
        <w:rPr>
          <w:rFonts w:ascii="Arial Narrow" w:hAnsi="Arial Narrow" w:cs="Arial"/>
          <w:sz w:val="18"/>
          <w:szCs w:val="18"/>
        </w:rPr>
        <w:t xml:space="preserve">, the </w:t>
      </w:r>
      <w:r>
        <w:rPr>
          <w:rFonts w:ascii="Arial Narrow" w:hAnsi="Arial Narrow" w:cs="Arial"/>
          <w:sz w:val="18"/>
          <w:szCs w:val="18"/>
        </w:rPr>
        <w:t>e</w:t>
      </w:r>
      <w:r w:rsidRPr="0072256D">
        <w:rPr>
          <w:rFonts w:ascii="Arial Narrow" w:hAnsi="Arial Narrow" w:cs="Arial"/>
          <w:sz w:val="18"/>
          <w:szCs w:val="18"/>
        </w:rPr>
        <w:t xml:space="preserve">ntity must identify the criteria and explain why it has determined that it is not material to </w:t>
      </w:r>
      <w:r>
        <w:rPr>
          <w:rFonts w:ascii="Arial Narrow" w:hAnsi="Arial Narrow" w:cs="Arial"/>
          <w:sz w:val="18"/>
          <w:szCs w:val="18"/>
        </w:rPr>
        <w:t xml:space="preserve">that </w:t>
      </w:r>
      <w:r w:rsidRPr="0072256D">
        <w:rPr>
          <w:rFonts w:ascii="Arial Narrow" w:hAnsi="Arial Narrow" w:cs="Arial"/>
          <w:sz w:val="18"/>
          <w:szCs w:val="18"/>
        </w:rPr>
        <w:t>understanding.</w:t>
      </w:r>
    </w:p>
  </w:footnote>
  <w:footnote w:id="8">
    <w:p w:rsidR="00647ED3" w:rsidRPr="003B6211" w:rsidRDefault="00647ED3" w:rsidP="00710666">
      <w:pPr>
        <w:pStyle w:val="FootnoteText"/>
        <w:spacing w:after="60"/>
        <w:ind w:left="284" w:hanging="284"/>
        <w:jc w:val="left"/>
        <w:rPr>
          <w:rFonts w:ascii="Arial Narrow" w:hAnsi="Arial Narrow" w:cs="Arial"/>
          <w:sz w:val="18"/>
          <w:szCs w:val="18"/>
        </w:rPr>
      </w:pPr>
      <w:r w:rsidRPr="00710666">
        <w:rPr>
          <w:rStyle w:val="FootnoteReference"/>
          <w:rFonts w:ascii="Arial Narrow" w:hAnsi="Arial Narrow"/>
          <w:position w:val="0"/>
          <w:szCs w:val="16"/>
          <w:vertAlign w:val="superscript"/>
        </w:rPr>
        <w:footnoteRef/>
      </w:r>
      <w:r>
        <w:tab/>
      </w:r>
      <w:r w:rsidRPr="003B6211">
        <w:rPr>
          <w:rFonts w:ascii="Arial Narrow" w:hAnsi="Arial Narrow" w:cs="Arial"/>
          <w:sz w:val="18"/>
          <w:szCs w:val="18"/>
        </w:rPr>
        <w:t xml:space="preserve">An entity that determines that a drill-hole table setting out the information described above is not material, is not required to attach the table to the </w:t>
      </w:r>
      <w:r>
        <w:rPr>
          <w:rFonts w:ascii="Arial Narrow" w:hAnsi="Arial Narrow" w:cs="Arial"/>
          <w:sz w:val="18"/>
          <w:szCs w:val="18"/>
        </w:rPr>
        <w:t>Offer Document</w:t>
      </w:r>
      <w:r w:rsidRPr="003B6211">
        <w:rPr>
          <w:rFonts w:ascii="Arial Narrow" w:hAnsi="Arial Narrow" w:cs="Arial"/>
          <w:sz w:val="18"/>
          <w:szCs w:val="18"/>
        </w:rPr>
        <w:t xml:space="preserve"> but must explain why it has determined that the table is not material to understanding the exploration results.</w:t>
      </w:r>
    </w:p>
  </w:footnote>
  <w:footnote w:id="9">
    <w:p w:rsidR="005A6AD7" w:rsidRPr="005A6AD7" w:rsidRDefault="005A6AD7" w:rsidP="00710666">
      <w:pPr>
        <w:pStyle w:val="FootnoteText"/>
        <w:spacing w:after="60"/>
        <w:ind w:left="284" w:hanging="284"/>
        <w:jc w:val="left"/>
        <w:rPr>
          <w:rFonts w:ascii="Arial Narrow" w:hAnsi="Arial Narrow"/>
          <w:sz w:val="18"/>
          <w:szCs w:val="18"/>
          <w:lang w:val="en-AU"/>
        </w:rPr>
      </w:pPr>
      <w:r w:rsidRPr="00710666">
        <w:rPr>
          <w:rStyle w:val="FootnoteReference"/>
          <w:rFonts w:ascii="Arial Narrow" w:hAnsi="Arial Narrow"/>
          <w:position w:val="0"/>
          <w:szCs w:val="16"/>
          <w:vertAlign w:val="superscript"/>
        </w:rPr>
        <w:footnoteRef/>
      </w:r>
      <w:r w:rsidRPr="005A6AD7">
        <w:rPr>
          <w:sz w:val="18"/>
          <w:szCs w:val="18"/>
        </w:rPr>
        <w:tab/>
      </w:r>
      <w:r w:rsidRPr="005A6AD7">
        <w:rPr>
          <w:rFonts w:ascii="Arial Narrow" w:hAnsi="Arial Narrow"/>
          <w:color w:val="000000"/>
          <w:sz w:val="18"/>
          <w:szCs w:val="18"/>
          <w:lang w:val="en-AU"/>
        </w:rPr>
        <w:t>Note that th</w:t>
      </w:r>
      <w:r w:rsidR="00790B87">
        <w:rPr>
          <w:rFonts w:ascii="Arial Narrow" w:hAnsi="Arial Narrow"/>
          <w:color w:val="000000"/>
          <w:sz w:val="18"/>
          <w:szCs w:val="18"/>
          <w:lang w:val="en-AU"/>
        </w:rPr>
        <w:t>e</w:t>
      </w:r>
      <w:r w:rsidRPr="005A6AD7">
        <w:rPr>
          <w:rFonts w:ascii="Arial Narrow" w:hAnsi="Arial Narrow"/>
          <w:color w:val="000000"/>
          <w:sz w:val="18"/>
          <w:szCs w:val="18"/>
          <w:lang w:val="en-AU"/>
        </w:rPr>
        <w:t xml:space="preserve"> information </w:t>
      </w:r>
      <w:r w:rsidR="00790B87">
        <w:rPr>
          <w:rFonts w:ascii="Arial Narrow" w:hAnsi="Arial Narrow"/>
          <w:color w:val="000000"/>
          <w:sz w:val="18"/>
          <w:szCs w:val="18"/>
          <w:lang w:val="en-AU"/>
        </w:rPr>
        <w:t xml:space="preserve">referred in </w:t>
      </w:r>
      <w:r w:rsidR="00790B87" w:rsidRPr="00790B87">
        <w:rPr>
          <w:rFonts w:ascii="Arial Narrow" w:hAnsi="Arial Narrow"/>
          <w:color w:val="000000"/>
          <w:sz w:val="18"/>
          <w:szCs w:val="18"/>
          <w:lang w:val="en-AU"/>
        </w:rPr>
        <w:t>items </w:t>
      </w:r>
      <w:r w:rsidR="00790B87" w:rsidRPr="00E503B3">
        <w:rPr>
          <w:rFonts w:ascii="Arial Narrow" w:hAnsi="Arial Narrow"/>
          <w:color w:val="000000"/>
          <w:sz w:val="18"/>
          <w:szCs w:val="18"/>
          <w:lang w:val="en-AU"/>
        </w:rPr>
        <w:fldChar w:fldCharType="begin"/>
      </w:r>
      <w:r w:rsidR="00790B87" w:rsidRPr="00790B87">
        <w:rPr>
          <w:rFonts w:ascii="Arial Narrow" w:hAnsi="Arial Narrow"/>
          <w:color w:val="000000"/>
          <w:sz w:val="18"/>
          <w:szCs w:val="18"/>
          <w:lang w:val="en-AU"/>
        </w:rPr>
        <w:instrText xml:space="preserve"> REF _Ref462411052 \r \h </w:instrText>
      </w:r>
      <w:r w:rsidR="00790B87">
        <w:rPr>
          <w:rFonts w:ascii="Arial Narrow" w:hAnsi="Arial Narrow"/>
          <w:color w:val="000000"/>
          <w:sz w:val="18"/>
          <w:szCs w:val="18"/>
          <w:lang w:val="en-AU"/>
        </w:rPr>
        <w:instrText xml:space="preserve"> \* MERGEFORMAT </w:instrText>
      </w:r>
      <w:r w:rsidR="00790B87" w:rsidRPr="00E503B3">
        <w:rPr>
          <w:rFonts w:ascii="Arial Narrow" w:hAnsi="Arial Narrow"/>
          <w:color w:val="000000"/>
          <w:sz w:val="18"/>
          <w:szCs w:val="18"/>
          <w:lang w:val="en-AU"/>
        </w:rPr>
      </w:r>
      <w:r w:rsidR="00790B87" w:rsidRPr="00E503B3">
        <w:rPr>
          <w:rFonts w:ascii="Arial Narrow" w:hAnsi="Arial Narrow"/>
          <w:color w:val="000000"/>
          <w:sz w:val="18"/>
          <w:szCs w:val="18"/>
          <w:lang w:val="en-AU"/>
        </w:rPr>
        <w:fldChar w:fldCharType="separate"/>
      </w:r>
      <w:r w:rsidR="00A626C4">
        <w:rPr>
          <w:rFonts w:ascii="Arial Narrow" w:hAnsi="Arial Narrow"/>
          <w:color w:val="000000"/>
          <w:sz w:val="18"/>
          <w:szCs w:val="18"/>
          <w:lang w:val="en-AU"/>
        </w:rPr>
        <w:t>17</w:t>
      </w:r>
      <w:r w:rsidR="00790B87" w:rsidRPr="00E503B3">
        <w:rPr>
          <w:rFonts w:ascii="Arial Narrow" w:hAnsi="Arial Narrow"/>
          <w:color w:val="000000"/>
          <w:sz w:val="18"/>
          <w:szCs w:val="18"/>
          <w:lang w:val="en-AU"/>
        </w:rPr>
        <w:fldChar w:fldCharType="end"/>
      </w:r>
      <w:r w:rsidR="00790B87" w:rsidRPr="00790B87">
        <w:rPr>
          <w:rFonts w:ascii="Arial Narrow" w:hAnsi="Arial Narrow"/>
          <w:color w:val="000000"/>
          <w:sz w:val="18"/>
          <w:szCs w:val="18"/>
          <w:lang w:val="en-AU"/>
        </w:rPr>
        <w:t>-</w:t>
      </w:r>
      <w:r w:rsidR="00790B87" w:rsidRPr="00790B87">
        <w:rPr>
          <w:rStyle w:val="FootnoteReference"/>
          <w:rFonts w:ascii="Arial Narrow" w:hAnsi="Arial Narrow"/>
          <w:position w:val="0"/>
          <w:sz w:val="18"/>
          <w:szCs w:val="18"/>
          <w:vertAlign w:val="superscript"/>
        </w:rPr>
        <w:fldChar w:fldCharType="begin"/>
      </w:r>
      <w:r w:rsidR="00790B87" w:rsidRPr="00790B87">
        <w:rPr>
          <w:rFonts w:ascii="Arial Narrow" w:hAnsi="Arial Narrow"/>
          <w:color w:val="000000"/>
          <w:sz w:val="18"/>
          <w:szCs w:val="18"/>
          <w:lang w:val="en-AU"/>
        </w:rPr>
        <w:instrText xml:space="preserve"> REF _Ref462411088 \r \h </w:instrText>
      </w:r>
      <w:r w:rsidR="00790B87">
        <w:rPr>
          <w:rStyle w:val="FootnoteReference"/>
          <w:rFonts w:ascii="Arial Narrow" w:hAnsi="Arial Narrow"/>
          <w:position w:val="0"/>
          <w:sz w:val="18"/>
          <w:szCs w:val="18"/>
          <w:vertAlign w:val="superscript"/>
        </w:rPr>
        <w:instrText xml:space="preserve"> \* MERGEFORMAT </w:instrText>
      </w:r>
      <w:r w:rsidR="00790B87" w:rsidRPr="00790B87">
        <w:rPr>
          <w:rStyle w:val="FootnoteReference"/>
          <w:rFonts w:ascii="Arial Narrow" w:hAnsi="Arial Narrow"/>
          <w:position w:val="0"/>
          <w:sz w:val="18"/>
          <w:szCs w:val="18"/>
          <w:vertAlign w:val="superscript"/>
        </w:rPr>
      </w:r>
      <w:r w:rsidR="00790B87" w:rsidRPr="00790B87">
        <w:rPr>
          <w:rStyle w:val="FootnoteReference"/>
          <w:rFonts w:ascii="Arial Narrow" w:hAnsi="Arial Narrow"/>
          <w:position w:val="0"/>
          <w:sz w:val="18"/>
          <w:szCs w:val="18"/>
          <w:vertAlign w:val="superscript"/>
        </w:rPr>
        <w:fldChar w:fldCharType="separate"/>
      </w:r>
      <w:r w:rsidR="00A626C4">
        <w:rPr>
          <w:rFonts w:ascii="Arial Narrow" w:hAnsi="Arial Narrow"/>
          <w:color w:val="000000"/>
          <w:sz w:val="18"/>
          <w:szCs w:val="18"/>
          <w:lang w:val="en-AU"/>
        </w:rPr>
        <w:t>24</w:t>
      </w:r>
      <w:r w:rsidR="00790B87" w:rsidRPr="00790B87">
        <w:rPr>
          <w:rStyle w:val="FootnoteReference"/>
          <w:rFonts w:ascii="Arial Narrow" w:hAnsi="Arial Narrow"/>
          <w:position w:val="0"/>
          <w:sz w:val="18"/>
          <w:szCs w:val="18"/>
          <w:vertAlign w:val="superscript"/>
        </w:rPr>
        <w:fldChar w:fldCharType="end"/>
      </w:r>
      <w:r w:rsidR="00790B87" w:rsidRPr="00790B87">
        <w:rPr>
          <w:rFonts w:ascii="Arial Narrow" w:hAnsi="Arial Narrow"/>
          <w:sz w:val="18"/>
          <w:szCs w:val="18"/>
          <w:vertAlign w:val="superscript"/>
        </w:rPr>
        <w:t xml:space="preserve"> </w:t>
      </w:r>
      <w:r w:rsidRPr="00790B87">
        <w:rPr>
          <w:rFonts w:ascii="Arial Narrow" w:hAnsi="Arial Narrow"/>
          <w:color w:val="000000"/>
          <w:sz w:val="18"/>
          <w:szCs w:val="18"/>
          <w:lang w:val="en-AU"/>
        </w:rPr>
        <w:t>should be disclosed</w:t>
      </w:r>
      <w:r w:rsidRPr="005A6AD7">
        <w:rPr>
          <w:rFonts w:ascii="Arial Narrow" w:hAnsi="Arial Narrow"/>
          <w:color w:val="000000"/>
          <w:sz w:val="18"/>
          <w:szCs w:val="18"/>
          <w:lang w:val="en-AU"/>
        </w:rPr>
        <w:t xml:space="preserve"> independently from the separate report in relation to each of the criteria in sections 1, 2 and 3 (and 5 if appropriate) of JORC Table 1 required under Listing Rule 5.8.2 mentioned in item </w:t>
      </w:r>
      <w:r w:rsidRPr="005A6AD7">
        <w:rPr>
          <w:rFonts w:ascii="Arial Narrow" w:hAnsi="Arial Narrow"/>
          <w:color w:val="000000"/>
          <w:sz w:val="18"/>
          <w:szCs w:val="18"/>
          <w:lang w:val="en-AU"/>
        </w:rPr>
        <w:fldChar w:fldCharType="begin"/>
      </w:r>
      <w:r w:rsidRPr="005A6AD7">
        <w:rPr>
          <w:rFonts w:ascii="Arial Narrow" w:hAnsi="Arial Narrow"/>
          <w:color w:val="000000"/>
          <w:sz w:val="18"/>
          <w:szCs w:val="18"/>
          <w:lang w:val="en-AU"/>
        </w:rPr>
        <w:instrText xml:space="preserve"> REF _Ref377726481 \r \h </w:instrText>
      </w:r>
      <w:r>
        <w:rPr>
          <w:rFonts w:ascii="Arial Narrow" w:hAnsi="Arial Narrow"/>
          <w:color w:val="000000"/>
          <w:sz w:val="18"/>
          <w:szCs w:val="18"/>
          <w:lang w:val="en-AU"/>
        </w:rPr>
        <w:instrText xml:space="preserve"> \* MERGEFORMAT </w:instrText>
      </w:r>
      <w:r w:rsidRPr="005A6AD7">
        <w:rPr>
          <w:rFonts w:ascii="Arial Narrow" w:hAnsi="Arial Narrow"/>
          <w:color w:val="000000"/>
          <w:sz w:val="18"/>
          <w:szCs w:val="18"/>
          <w:lang w:val="en-AU"/>
        </w:rPr>
      </w:r>
      <w:r w:rsidRPr="005A6AD7">
        <w:rPr>
          <w:rFonts w:ascii="Arial Narrow" w:hAnsi="Arial Narrow"/>
          <w:color w:val="000000"/>
          <w:sz w:val="18"/>
          <w:szCs w:val="18"/>
          <w:lang w:val="en-AU"/>
        </w:rPr>
        <w:fldChar w:fldCharType="separate"/>
      </w:r>
      <w:r w:rsidR="00A626C4">
        <w:rPr>
          <w:rFonts w:ascii="Arial Narrow" w:hAnsi="Arial Narrow"/>
          <w:color w:val="000000"/>
          <w:sz w:val="18"/>
          <w:szCs w:val="18"/>
          <w:lang w:val="en-AU"/>
        </w:rPr>
        <w:t>25</w:t>
      </w:r>
      <w:r w:rsidRPr="005A6AD7">
        <w:rPr>
          <w:rFonts w:ascii="Arial Narrow" w:hAnsi="Arial Narrow"/>
          <w:color w:val="000000"/>
          <w:sz w:val="18"/>
          <w:szCs w:val="18"/>
          <w:lang w:val="en-AU"/>
        </w:rPr>
        <w:fldChar w:fldCharType="end"/>
      </w:r>
      <w:r w:rsidRPr="005A6AD7">
        <w:rPr>
          <w:rFonts w:ascii="Arial Narrow" w:hAnsi="Arial Narrow"/>
          <w:color w:val="000000"/>
          <w:sz w:val="18"/>
          <w:szCs w:val="18"/>
          <w:lang w:val="en-AU"/>
        </w:rPr>
        <w:t xml:space="preserve"> below.</w:t>
      </w:r>
    </w:p>
  </w:footnote>
  <w:footnote w:id="10">
    <w:p w:rsidR="003B6211" w:rsidRPr="0072256D" w:rsidRDefault="003B6211" w:rsidP="00710666">
      <w:pPr>
        <w:pStyle w:val="FootnoteText"/>
        <w:spacing w:after="60"/>
        <w:ind w:left="284" w:hanging="284"/>
        <w:jc w:val="left"/>
        <w:rPr>
          <w:rFonts w:ascii="Arial Narrow" w:hAnsi="Arial Narrow"/>
          <w:sz w:val="18"/>
          <w:szCs w:val="18"/>
          <w:lang w:val="en-AU"/>
        </w:rPr>
      </w:pPr>
      <w:r w:rsidRPr="00710666">
        <w:rPr>
          <w:rStyle w:val="FootnoteReference"/>
          <w:rFonts w:ascii="Arial Narrow" w:hAnsi="Arial Narrow"/>
          <w:position w:val="0"/>
          <w:szCs w:val="16"/>
          <w:vertAlign w:val="superscript"/>
        </w:rPr>
        <w:footnoteRef/>
      </w:r>
      <w:r>
        <w:tab/>
      </w:r>
      <w:r w:rsidRPr="0072256D">
        <w:rPr>
          <w:rFonts w:ascii="Arial Narrow" w:hAnsi="Arial Narrow" w:cs="Arial"/>
          <w:sz w:val="18"/>
          <w:szCs w:val="18"/>
        </w:rPr>
        <w:t xml:space="preserve">If an </w:t>
      </w:r>
      <w:r>
        <w:rPr>
          <w:rFonts w:ascii="Arial Narrow" w:hAnsi="Arial Narrow" w:cs="Arial"/>
          <w:sz w:val="18"/>
          <w:szCs w:val="18"/>
        </w:rPr>
        <w:t>e</w:t>
      </w:r>
      <w:r w:rsidRPr="0072256D">
        <w:rPr>
          <w:rFonts w:ascii="Arial Narrow" w:hAnsi="Arial Narrow" w:cs="Arial"/>
          <w:sz w:val="18"/>
          <w:szCs w:val="18"/>
        </w:rPr>
        <w:t xml:space="preserve">ntity that determines that any of the criteria is not material to understanding the </w:t>
      </w:r>
      <w:r>
        <w:rPr>
          <w:rFonts w:ascii="Arial Narrow" w:hAnsi="Arial Narrow" w:cs="Arial"/>
          <w:sz w:val="18"/>
          <w:szCs w:val="18"/>
        </w:rPr>
        <w:t>estimate of mineral resources</w:t>
      </w:r>
      <w:r w:rsidRPr="0072256D">
        <w:rPr>
          <w:rFonts w:ascii="Arial Narrow" w:hAnsi="Arial Narrow" w:cs="Arial"/>
          <w:sz w:val="18"/>
          <w:szCs w:val="18"/>
        </w:rPr>
        <w:t xml:space="preserve">, the </w:t>
      </w:r>
      <w:r>
        <w:rPr>
          <w:rFonts w:ascii="Arial Narrow" w:hAnsi="Arial Narrow" w:cs="Arial"/>
          <w:sz w:val="18"/>
          <w:szCs w:val="18"/>
        </w:rPr>
        <w:t>e</w:t>
      </w:r>
      <w:r w:rsidRPr="0072256D">
        <w:rPr>
          <w:rFonts w:ascii="Arial Narrow" w:hAnsi="Arial Narrow" w:cs="Arial"/>
          <w:sz w:val="18"/>
          <w:szCs w:val="18"/>
        </w:rPr>
        <w:t xml:space="preserve">ntity must identify the criteria and explain why it has determined that it is not material to </w:t>
      </w:r>
      <w:r>
        <w:rPr>
          <w:rFonts w:ascii="Arial Narrow" w:hAnsi="Arial Narrow" w:cs="Arial"/>
          <w:sz w:val="18"/>
          <w:szCs w:val="18"/>
        </w:rPr>
        <w:t xml:space="preserve">that </w:t>
      </w:r>
      <w:r w:rsidRPr="0072256D">
        <w:rPr>
          <w:rFonts w:ascii="Arial Narrow" w:hAnsi="Arial Narrow" w:cs="Arial"/>
          <w:sz w:val="18"/>
          <w:szCs w:val="18"/>
        </w:rPr>
        <w:t>understanding.</w:t>
      </w:r>
    </w:p>
  </w:footnote>
  <w:footnote w:id="11">
    <w:p w:rsidR="005A6AD7" w:rsidRPr="005A6AD7" w:rsidRDefault="003B6211" w:rsidP="00E45551">
      <w:pPr>
        <w:pStyle w:val="FootnoteText"/>
        <w:spacing w:after="60"/>
        <w:ind w:left="284" w:hanging="284"/>
        <w:jc w:val="left"/>
        <w:rPr>
          <w:rFonts w:ascii="Arial Narrow" w:hAnsi="Arial Narrow"/>
          <w:color w:val="000000"/>
          <w:sz w:val="18"/>
          <w:szCs w:val="18"/>
          <w:lang w:val="en-AU"/>
        </w:rPr>
      </w:pPr>
      <w:r w:rsidRPr="00710666">
        <w:rPr>
          <w:rStyle w:val="FootnoteReference"/>
          <w:rFonts w:ascii="Arial Narrow" w:hAnsi="Arial Narrow"/>
          <w:position w:val="0"/>
          <w:szCs w:val="16"/>
          <w:vertAlign w:val="superscript"/>
        </w:rPr>
        <w:footnoteRef/>
      </w:r>
      <w:r>
        <w:tab/>
      </w:r>
      <w:r w:rsidRPr="0072256D">
        <w:rPr>
          <w:rFonts w:ascii="Arial Narrow" w:hAnsi="Arial Narrow"/>
          <w:color w:val="000000"/>
          <w:sz w:val="18"/>
          <w:szCs w:val="18"/>
          <w:lang w:val="en-AU"/>
        </w:rPr>
        <w:t>If the economic assumptions are commercially sensitive to the entity, an explanation of the methodology used to determine the assumptions rather than the actual figure can be reported</w:t>
      </w:r>
      <w:r>
        <w:rPr>
          <w:rFonts w:ascii="Arial Narrow" w:hAnsi="Arial Narrow"/>
          <w:color w:val="000000"/>
          <w:sz w:val="18"/>
          <w:szCs w:val="18"/>
          <w:lang w:val="en-AU"/>
        </w:rPr>
        <w:t>.</w:t>
      </w:r>
    </w:p>
  </w:footnote>
  <w:footnote w:id="12">
    <w:p w:rsidR="003B6211" w:rsidRPr="0072256D" w:rsidRDefault="003B6211" w:rsidP="00710666">
      <w:pPr>
        <w:pStyle w:val="FootnoteText"/>
        <w:spacing w:after="60"/>
        <w:ind w:left="284" w:hanging="284"/>
        <w:jc w:val="left"/>
        <w:rPr>
          <w:rFonts w:ascii="Arial Narrow" w:hAnsi="Arial Narrow"/>
          <w:sz w:val="18"/>
          <w:szCs w:val="18"/>
          <w:lang w:val="en-AU"/>
        </w:rPr>
      </w:pPr>
      <w:r w:rsidRPr="00710666">
        <w:rPr>
          <w:rStyle w:val="FootnoteReference"/>
          <w:rFonts w:ascii="Arial Narrow" w:hAnsi="Arial Narrow"/>
          <w:position w:val="0"/>
          <w:szCs w:val="16"/>
          <w:vertAlign w:val="superscript"/>
        </w:rPr>
        <w:footnoteRef/>
      </w:r>
      <w:r>
        <w:tab/>
      </w:r>
      <w:r w:rsidRPr="0072256D">
        <w:rPr>
          <w:rFonts w:ascii="Arial Narrow" w:hAnsi="Arial Narrow" w:cs="Arial"/>
          <w:sz w:val="18"/>
          <w:szCs w:val="18"/>
        </w:rPr>
        <w:t xml:space="preserve">If an </w:t>
      </w:r>
      <w:r>
        <w:rPr>
          <w:rFonts w:ascii="Arial Narrow" w:hAnsi="Arial Narrow" w:cs="Arial"/>
          <w:sz w:val="18"/>
          <w:szCs w:val="18"/>
        </w:rPr>
        <w:t>e</w:t>
      </w:r>
      <w:r w:rsidRPr="0072256D">
        <w:rPr>
          <w:rFonts w:ascii="Arial Narrow" w:hAnsi="Arial Narrow" w:cs="Arial"/>
          <w:sz w:val="18"/>
          <w:szCs w:val="18"/>
        </w:rPr>
        <w:t xml:space="preserve">ntity that determines that any of the criteria is not material to understanding the </w:t>
      </w:r>
      <w:r>
        <w:rPr>
          <w:rFonts w:ascii="Arial Narrow" w:hAnsi="Arial Narrow" w:cs="Arial"/>
          <w:sz w:val="18"/>
          <w:szCs w:val="18"/>
        </w:rPr>
        <w:t xml:space="preserve">estimate of ore </w:t>
      </w:r>
      <w:r w:rsidRPr="0072256D">
        <w:rPr>
          <w:rFonts w:ascii="Arial Narrow" w:hAnsi="Arial Narrow" w:cs="Arial"/>
          <w:sz w:val="18"/>
          <w:szCs w:val="18"/>
        </w:rPr>
        <w:t xml:space="preserve">reserves, the </w:t>
      </w:r>
      <w:r>
        <w:rPr>
          <w:rFonts w:ascii="Arial Narrow" w:hAnsi="Arial Narrow" w:cs="Arial"/>
          <w:sz w:val="18"/>
          <w:szCs w:val="18"/>
        </w:rPr>
        <w:t>e</w:t>
      </w:r>
      <w:r w:rsidRPr="0072256D">
        <w:rPr>
          <w:rFonts w:ascii="Arial Narrow" w:hAnsi="Arial Narrow" w:cs="Arial"/>
          <w:sz w:val="18"/>
          <w:szCs w:val="18"/>
        </w:rPr>
        <w:t xml:space="preserve">ntity must identify the criteria and explain why it has determined that it is not material to </w:t>
      </w:r>
      <w:r>
        <w:rPr>
          <w:rFonts w:ascii="Arial Narrow" w:hAnsi="Arial Narrow" w:cs="Arial"/>
          <w:sz w:val="18"/>
          <w:szCs w:val="18"/>
        </w:rPr>
        <w:t xml:space="preserve">that </w:t>
      </w:r>
      <w:r w:rsidRPr="0072256D">
        <w:rPr>
          <w:rFonts w:ascii="Arial Narrow" w:hAnsi="Arial Narrow" w:cs="Arial"/>
          <w:sz w:val="18"/>
          <w:szCs w:val="18"/>
        </w:rPr>
        <w:t>understanding.</w:t>
      </w:r>
    </w:p>
  </w:footnote>
  <w:footnote w:id="13">
    <w:p w:rsidR="003B6211" w:rsidRPr="0075078F" w:rsidRDefault="003B6211" w:rsidP="00710666">
      <w:pPr>
        <w:overflowPunct/>
        <w:spacing w:after="60"/>
        <w:ind w:left="284" w:hanging="284"/>
        <w:jc w:val="left"/>
        <w:textAlignment w:val="auto"/>
        <w:rPr>
          <w:rFonts w:ascii="Arial Narrow" w:hAnsi="Arial Narrow" w:cs="Arial"/>
          <w:sz w:val="18"/>
          <w:szCs w:val="18"/>
        </w:rPr>
      </w:pPr>
      <w:r w:rsidRPr="00710666">
        <w:rPr>
          <w:rStyle w:val="FootnoteReference"/>
          <w:rFonts w:ascii="Arial Narrow" w:hAnsi="Arial Narrow"/>
          <w:position w:val="0"/>
          <w:szCs w:val="16"/>
          <w:vertAlign w:val="superscript"/>
        </w:rPr>
        <w:footnoteRef/>
      </w:r>
      <w:r w:rsidRPr="0032734C">
        <w:rPr>
          <w:rFonts w:ascii="Arial Narrow" w:hAnsi="Arial Narrow"/>
          <w:color w:val="000000"/>
          <w:sz w:val="18"/>
          <w:szCs w:val="18"/>
          <w:lang w:val="en-AU"/>
        </w:rPr>
        <w:tab/>
      </w:r>
      <w:r>
        <w:rPr>
          <w:rFonts w:ascii="Arial Narrow" w:hAnsi="Arial Narrow"/>
          <w:color w:val="000000"/>
          <w:sz w:val="18"/>
          <w:szCs w:val="18"/>
          <w:lang w:val="en-AU"/>
        </w:rPr>
        <w:t>Note that d</w:t>
      </w:r>
      <w:r w:rsidRPr="0075078F">
        <w:rPr>
          <w:rFonts w:ascii="Arial Narrow" w:hAnsi="Arial Narrow"/>
          <w:color w:val="000000"/>
          <w:sz w:val="18"/>
          <w:szCs w:val="18"/>
          <w:lang w:val="en-AU"/>
        </w:rPr>
        <w:t xml:space="preserve">isclosing </w:t>
      </w:r>
      <w:r w:rsidRPr="0075078F">
        <w:rPr>
          <w:rFonts w:ascii="Arial Narrow" w:hAnsi="Arial Narrow" w:cs="Arial"/>
          <w:sz w:val="18"/>
          <w:szCs w:val="18"/>
        </w:rPr>
        <w:t xml:space="preserve">a </w:t>
      </w:r>
      <w:r>
        <w:rPr>
          <w:rFonts w:ascii="Arial Narrow" w:hAnsi="Arial Narrow" w:cs="Arial"/>
          <w:sz w:val="18"/>
          <w:szCs w:val="18"/>
        </w:rPr>
        <w:t>p</w:t>
      </w:r>
      <w:r w:rsidRPr="0075078F">
        <w:rPr>
          <w:rFonts w:ascii="Arial Narrow" w:hAnsi="Arial Narrow" w:cs="Arial"/>
          <w:sz w:val="18"/>
          <w:szCs w:val="18"/>
        </w:rPr>
        <w:t>roduction</w:t>
      </w:r>
      <w:r>
        <w:rPr>
          <w:rFonts w:ascii="Arial Narrow" w:hAnsi="Arial Narrow" w:cs="Arial"/>
          <w:sz w:val="18"/>
          <w:szCs w:val="18"/>
        </w:rPr>
        <w:t xml:space="preserve"> t</w:t>
      </w:r>
      <w:r w:rsidRPr="0075078F">
        <w:rPr>
          <w:rFonts w:ascii="Arial Narrow" w:hAnsi="Arial Narrow" w:cs="Arial"/>
          <w:sz w:val="18"/>
          <w:szCs w:val="18"/>
        </w:rPr>
        <w:t>arget that is based solely on an exploration target or solely on a com</w:t>
      </w:r>
      <w:r>
        <w:rPr>
          <w:rFonts w:ascii="Arial Narrow" w:hAnsi="Arial Narrow" w:cs="Arial"/>
          <w:sz w:val="18"/>
          <w:szCs w:val="18"/>
        </w:rPr>
        <w:t>bination of inf</w:t>
      </w:r>
      <w:r w:rsidRPr="0075078F">
        <w:rPr>
          <w:rFonts w:ascii="Arial Narrow" w:hAnsi="Arial Narrow" w:cs="Arial"/>
          <w:sz w:val="18"/>
          <w:szCs w:val="18"/>
        </w:rPr>
        <w:t>erred mineral resources and an exploration target is prohibited (Listing Rule 15.5(a))</w:t>
      </w:r>
      <w:r>
        <w:rPr>
          <w:rFonts w:ascii="Arial Narrow" w:hAnsi="Arial Narrow" w:cs="Arial"/>
          <w:sz w:val="18"/>
          <w:szCs w:val="18"/>
        </w:rPr>
        <w:t xml:space="preserve">, as is disclosing a production target based solely or partly on </w:t>
      </w:r>
      <w:r w:rsidRPr="0075078F">
        <w:rPr>
          <w:rFonts w:ascii="Arial Narrow" w:hAnsi="Arial Narrow" w:cs="Arial"/>
          <w:sz w:val="18"/>
          <w:szCs w:val="18"/>
        </w:rPr>
        <w:t>historical estimates or foreign estimates (other than qualifying foreign estimates) of mineralisation (Listing Rule 15.5(</w:t>
      </w:r>
      <w:r>
        <w:rPr>
          <w:rFonts w:ascii="Arial Narrow" w:hAnsi="Arial Narrow" w:cs="Arial"/>
          <w:sz w:val="18"/>
          <w:szCs w:val="18"/>
        </w:rPr>
        <w:t>b</w:t>
      </w:r>
      <w:r w:rsidRPr="0075078F">
        <w:rPr>
          <w:rFonts w:ascii="Arial Narrow" w:hAnsi="Arial Narrow" w:cs="Arial"/>
          <w:sz w:val="18"/>
          <w:szCs w:val="18"/>
        </w:rPr>
        <w:t xml:space="preserve">)). A production target that is based solely on </w:t>
      </w:r>
      <w:r>
        <w:rPr>
          <w:rFonts w:ascii="Arial Narrow" w:hAnsi="Arial Narrow" w:cs="Arial"/>
          <w:sz w:val="18"/>
          <w:szCs w:val="18"/>
        </w:rPr>
        <w:t>an i</w:t>
      </w:r>
      <w:r w:rsidRPr="0075078F">
        <w:rPr>
          <w:rFonts w:ascii="Arial Narrow" w:hAnsi="Arial Narrow" w:cs="Arial"/>
          <w:sz w:val="18"/>
          <w:szCs w:val="18"/>
        </w:rPr>
        <w:t xml:space="preserve">nferred </w:t>
      </w:r>
      <w:r>
        <w:rPr>
          <w:rFonts w:ascii="Arial Narrow" w:hAnsi="Arial Narrow" w:cs="Arial"/>
          <w:sz w:val="18"/>
          <w:szCs w:val="18"/>
        </w:rPr>
        <w:t>mineral r</w:t>
      </w:r>
      <w:r w:rsidRPr="0075078F">
        <w:rPr>
          <w:rFonts w:ascii="Arial Narrow" w:hAnsi="Arial Narrow" w:cs="Arial"/>
          <w:sz w:val="18"/>
          <w:szCs w:val="18"/>
        </w:rPr>
        <w:t>esource must comply with Listing Rule 5.16.6.</w:t>
      </w:r>
    </w:p>
  </w:footnote>
  <w:footnote w:id="14">
    <w:p w:rsidR="003B6211" w:rsidRPr="000A65ED" w:rsidRDefault="003B6211" w:rsidP="00710666">
      <w:pPr>
        <w:pStyle w:val="FootnoteText"/>
        <w:spacing w:after="60"/>
        <w:ind w:left="284" w:hanging="284"/>
        <w:jc w:val="left"/>
        <w:rPr>
          <w:rFonts w:ascii="Arial Narrow" w:hAnsi="Arial Narrow"/>
          <w:color w:val="000000"/>
          <w:sz w:val="18"/>
          <w:szCs w:val="18"/>
          <w:lang w:val="en-AU"/>
        </w:rPr>
      </w:pPr>
      <w:r w:rsidRPr="00710666">
        <w:rPr>
          <w:rStyle w:val="FootnoteReference"/>
          <w:rFonts w:ascii="Arial Narrow" w:hAnsi="Arial Narrow"/>
          <w:position w:val="0"/>
          <w:szCs w:val="16"/>
          <w:vertAlign w:val="superscript"/>
        </w:rPr>
        <w:footnoteRef/>
      </w:r>
      <w:r>
        <w:rPr>
          <w:rFonts w:ascii="Arial Narrow" w:hAnsi="Arial Narrow"/>
        </w:rPr>
        <w:tab/>
      </w:r>
      <w:r w:rsidRPr="000A65ED">
        <w:rPr>
          <w:rFonts w:ascii="Arial Narrow" w:hAnsi="Arial Narrow"/>
          <w:sz w:val="18"/>
          <w:szCs w:val="18"/>
        </w:rPr>
        <w:t xml:space="preserve">Note that the cautionary statement </w:t>
      </w:r>
      <w:r w:rsidRPr="000A65ED">
        <w:rPr>
          <w:rFonts w:ascii="Arial Narrow" w:hAnsi="Arial Narrow"/>
          <w:color w:val="000000"/>
          <w:sz w:val="18"/>
          <w:szCs w:val="18"/>
          <w:lang w:val="en-AU"/>
        </w:rPr>
        <w:t xml:space="preserve">must be proximate to, and </w:t>
      </w:r>
      <w:r>
        <w:rPr>
          <w:rFonts w:ascii="Arial Narrow" w:hAnsi="Arial Narrow"/>
          <w:color w:val="000000"/>
          <w:sz w:val="18"/>
          <w:szCs w:val="18"/>
          <w:lang w:val="en-AU"/>
        </w:rPr>
        <w:t>have</w:t>
      </w:r>
      <w:r w:rsidRPr="000A65ED">
        <w:rPr>
          <w:rFonts w:ascii="Arial Narrow" w:hAnsi="Arial Narrow"/>
          <w:color w:val="000000"/>
          <w:sz w:val="18"/>
          <w:szCs w:val="18"/>
          <w:lang w:val="en-AU"/>
        </w:rPr>
        <w:t xml:space="preserve"> equal prominence as, the reported production target</w:t>
      </w:r>
      <w:r>
        <w:rPr>
          <w:rFonts w:ascii="Arial Narrow" w:hAnsi="Arial Narrow"/>
          <w:color w:val="000000"/>
          <w:sz w:val="18"/>
          <w:szCs w:val="18"/>
          <w:lang w:val="en-AU"/>
        </w:rPr>
        <w:t>.</w:t>
      </w:r>
    </w:p>
  </w:footnote>
  <w:footnote w:id="15">
    <w:p w:rsidR="003B6211" w:rsidRPr="000A65ED" w:rsidRDefault="003B6211" w:rsidP="00710666">
      <w:pPr>
        <w:pStyle w:val="FootnoteText"/>
        <w:spacing w:after="60"/>
        <w:ind w:left="284" w:hanging="284"/>
        <w:jc w:val="left"/>
        <w:rPr>
          <w:rFonts w:ascii="Arial Narrow" w:hAnsi="Arial Narrow"/>
          <w:color w:val="000000"/>
          <w:sz w:val="18"/>
          <w:szCs w:val="18"/>
          <w:lang w:val="en-AU"/>
        </w:rPr>
      </w:pPr>
      <w:r w:rsidRPr="00710666">
        <w:rPr>
          <w:rStyle w:val="FootnoteReference"/>
          <w:rFonts w:ascii="Arial Narrow" w:hAnsi="Arial Narrow"/>
          <w:position w:val="0"/>
          <w:szCs w:val="16"/>
          <w:vertAlign w:val="superscript"/>
        </w:rPr>
        <w:footnoteRef/>
      </w:r>
      <w:r>
        <w:rPr>
          <w:rFonts w:ascii="Arial Narrow" w:hAnsi="Arial Narrow"/>
        </w:rPr>
        <w:tab/>
      </w:r>
      <w:r w:rsidRPr="000A65ED">
        <w:rPr>
          <w:rFonts w:ascii="Arial Narrow" w:hAnsi="Arial Narrow"/>
          <w:sz w:val="18"/>
          <w:szCs w:val="18"/>
        </w:rPr>
        <w:t>Note</w:t>
      </w:r>
      <w:r>
        <w:rPr>
          <w:rFonts w:ascii="Arial Narrow" w:hAnsi="Arial Narrow"/>
          <w:sz w:val="18"/>
          <w:szCs w:val="18"/>
        </w:rPr>
        <w:t xml:space="preserve"> again</w:t>
      </w:r>
      <w:r w:rsidRPr="000A65ED">
        <w:rPr>
          <w:rFonts w:ascii="Arial Narrow" w:hAnsi="Arial Narrow"/>
          <w:sz w:val="18"/>
          <w:szCs w:val="18"/>
        </w:rPr>
        <w:t xml:space="preserve"> that the cautionary statement </w:t>
      </w:r>
      <w:r w:rsidRPr="000A65ED">
        <w:rPr>
          <w:rFonts w:ascii="Arial Narrow" w:hAnsi="Arial Narrow"/>
          <w:color w:val="000000"/>
          <w:sz w:val="18"/>
          <w:szCs w:val="18"/>
          <w:lang w:val="en-AU"/>
        </w:rPr>
        <w:t xml:space="preserve">must be proximate to, and </w:t>
      </w:r>
      <w:r>
        <w:rPr>
          <w:rFonts w:ascii="Arial Narrow" w:hAnsi="Arial Narrow"/>
          <w:color w:val="000000"/>
          <w:sz w:val="18"/>
          <w:szCs w:val="18"/>
          <w:lang w:val="en-AU"/>
        </w:rPr>
        <w:t>have</w:t>
      </w:r>
      <w:r w:rsidRPr="000A65ED">
        <w:rPr>
          <w:rFonts w:ascii="Arial Narrow" w:hAnsi="Arial Narrow"/>
          <w:color w:val="000000"/>
          <w:sz w:val="18"/>
          <w:szCs w:val="18"/>
          <w:lang w:val="en-AU"/>
        </w:rPr>
        <w:t xml:space="preserve"> equal prominence as, the reported production target</w:t>
      </w:r>
      <w:r>
        <w:rPr>
          <w:rFonts w:ascii="Arial Narrow" w:hAnsi="Arial Narrow"/>
          <w:color w:val="000000"/>
          <w:sz w:val="18"/>
          <w:szCs w:val="18"/>
          <w:lang w:val="en-AU"/>
        </w:rPr>
        <w:t>.</w:t>
      </w:r>
    </w:p>
  </w:footnote>
  <w:footnote w:id="16">
    <w:p w:rsidR="003B6211" w:rsidRPr="000A65ED" w:rsidRDefault="003B6211" w:rsidP="00710666">
      <w:pPr>
        <w:pStyle w:val="FootnoteText"/>
        <w:spacing w:after="60"/>
        <w:ind w:left="284" w:hanging="284"/>
        <w:jc w:val="left"/>
        <w:rPr>
          <w:rFonts w:ascii="Arial Narrow" w:hAnsi="Arial Narrow"/>
          <w:color w:val="000000"/>
          <w:sz w:val="18"/>
          <w:szCs w:val="18"/>
          <w:lang w:val="en-AU"/>
        </w:rPr>
      </w:pPr>
      <w:r w:rsidRPr="00710666">
        <w:rPr>
          <w:rStyle w:val="FootnoteReference"/>
          <w:rFonts w:ascii="Arial Narrow" w:hAnsi="Arial Narrow"/>
          <w:position w:val="0"/>
          <w:szCs w:val="16"/>
          <w:vertAlign w:val="superscript"/>
        </w:rPr>
        <w:footnoteRef/>
      </w:r>
      <w:r>
        <w:rPr>
          <w:rFonts w:ascii="Arial Narrow" w:hAnsi="Arial Narrow"/>
        </w:rPr>
        <w:tab/>
      </w:r>
      <w:r w:rsidRPr="000A65ED">
        <w:rPr>
          <w:rFonts w:ascii="Arial Narrow" w:hAnsi="Arial Narrow"/>
          <w:sz w:val="18"/>
          <w:szCs w:val="18"/>
        </w:rPr>
        <w:t xml:space="preserve">Note </w:t>
      </w:r>
      <w:r>
        <w:rPr>
          <w:rFonts w:ascii="Arial Narrow" w:hAnsi="Arial Narrow"/>
          <w:sz w:val="18"/>
          <w:szCs w:val="18"/>
        </w:rPr>
        <w:t xml:space="preserve">again </w:t>
      </w:r>
      <w:r w:rsidRPr="000A65ED">
        <w:rPr>
          <w:rFonts w:ascii="Arial Narrow" w:hAnsi="Arial Narrow"/>
          <w:sz w:val="18"/>
          <w:szCs w:val="18"/>
        </w:rPr>
        <w:t xml:space="preserve">that the cautionary statement </w:t>
      </w:r>
      <w:r w:rsidRPr="000A65ED">
        <w:rPr>
          <w:rFonts w:ascii="Arial Narrow" w:hAnsi="Arial Narrow"/>
          <w:color w:val="000000"/>
          <w:sz w:val="18"/>
          <w:szCs w:val="18"/>
          <w:lang w:val="en-AU"/>
        </w:rPr>
        <w:t xml:space="preserve">must be proximate to, and </w:t>
      </w:r>
      <w:r>
        <w:rPr>
          <w:rFonts w:ascii="Arial Narrow" w:hAnsi="Arial Narrow"/>
          <w:color w:val="000000"/>
          <w:sz w:val="18"/>
          <w:szCs w:val="18"/>
          <w:lang w:val="en-AU"/>
        </w:rPr>
        <w:t>have</w:t>
      </w:r>
      <w:r w:rsidRPr="000A65ED">
        <w:rPr>
          <w:rFonts w:ascii="Arial Narrow" w:hAnsi="Arial Narrow"/>
          <w:color w:val="000000"/>
          <w:sz w:val="18"/>
          <w:szCs w:val="18"/>
          <w:lang w:val="en-AU"/>
        </w:rPr>
        <w:t xml:space="preserve"> equal prominence as, the reported production target</w:t>
      </w:r>
      <w:r>
        <w:rPr>
          <w:rFonts w:ascii="Arial Narrow" w:hAnsi="Arial Narrow"/>
          <w:color w:val="000000"/>
          <w:sz w:val="18"/>
          <w:szCs w:val="18"/>
          <w:lang w:val="en-AU"/>
        </w:rPr>
        <w:t>.</w:t>
      </w:r>
    </w:p>
  </w:footnote>
  <w:footnote w:id="17">
    <w:p w:rsidR="009C685A" w:rsidRPr="000A65ED" w:rsidRDefault="009C685A" w:rsidP="00710666">
      <w:pPr>
        <w:overflowPunct/>
        <w:spacing w:after="60"/>
        <w:ind w:left="284" w:hanging="284"/>
        <w:jc w:val="left"/>
        <w:textAlignment w:val="auto"/>
        <w:rPr>
          <w:rFonts w:ascii="Arial Narrow" w:hAnsi="Arial Narrow"/>
          <w:color w:val="000000"/>
          <w:sz w:val="18"/>
          <w:szCs w:val="18"/>
          <w:lang w:val="en-AU"/>
        </w:rPr>
      </w:pPr>
      <w:r w:rsidRPr="00710666">
        <w:rPr>
          <w:rStyle w:val="FootnoteReference"/>
          <w:rFonts w:ascii="Arial Narrow" w:hAnsi="Arial Narrow"/>
          <w:position w:val="0"/>
          <w:szCs w:val="16"/>
          <w:vertAlign w:val="superscript"/>
        </w:rPr>
        <w:footnoteRef/>
      </w:r>
      <w:r>
        <w:rPr>
          <w:rFonts w:ascii="Arial Narrow" w:hAnsi="Arial Narrow"/>
        </w:rPr>
        <w:tab/>
      </w:r>
      <w:r w:rsidRPr="009C685A">
        <w:rPr>
          <w:rFonts w:ascii="Arial Narrow" w:hAnsi="Arial Narrow"/>
          <w:color w:val="000000"/>
          <w:sz w:val="18"/>
          <w:szCs w:val="18"/>
          <w:lang w:val="en-AU"/>
        </w:rPr>
        <w:t>If the economic assumptions are commercially sensitive to the entity, an explanation of the methodology used to determine the assumptions rather than the actual figure can be reported. Note, however, that economic assumptions may no</w:t>
      </w:r>
      <w:r>
        <w:rPr>
          <w:rFonts w:ascii="Arial Narrow" w:hAnsi="Arial Narrow"/>
          <w:color w:val="000000"/>
          <w:sz w:val="18"/>
          <w:szCs w:val="18"/>
          <w:lang w:val="en-AU"/>
        </w:rPr>
        <w:t>t be commercially sensitive. An</w:t>
      </w:r>
      <w:r w:rsidRPr="009C685A">
        <w:rPr>
          <w:rFonts w:ascii="Arial Narrow" w:hAnsi="Arial Narrow"/>
          <w:color w:val="000000"/>
          <w:sz w:val="18"/>
          <w:szCs w:val="18"/>
          <w:lang w:val="en-AU"/>
        </w:rPr>
        <w:t xml:space="preserve"> entity that considers that certain</w:t>
      </w:r>
      <w:r>
        <w:rPr>
          <w:rFonts w:ascii="Arial Narrow" w:hAnsi="Arial Narrow"/>
          <w:color w:val="000000"/>
          <w:sz w:val="18"/>
          <w:szCs w:val="18"/>
          <w:lang w:val="en-AU"/>
        </w:rPr>
        <w:t xml:space="preserve"> </w:t>
      </w:r>
      <w:r w:rsidRPr="009C685A">
        <w:rPr>
          <w:rFonts w:ascii="Arial Narrow" w:hAnsi="Arial Narrow"/>
          <w:color w:val="000000"/>
          <w:sz w:val="18"/>
          <w:szCs w:val="18"/>
          <w:lang w:val="en-AU"/>
        </w:rPr>
        <w:t xml:space="preserve">information is commercially sensitive should refer </w:t>
      </w:r>
      <w:r w:rsidR="00C5570F">
        <w:rPr>
          <w:rFonts w:ascii="Arial Narrow" w:hAnsi="Arial Narrow"/>
          <w:color w:val="000000"/>
          <w:sz w:val="18"/>
          <w:szCs w:val="18"/>
          <w:lang w:val="en-AU"/>
        </w:rPr>
        <w:t>to section 8.6 of Guidance Note </w:t>
      </w:r>
      <w:r w:rsidRPr="009C685A">
        <w:rPr>
          <w:rFonts w:ascii="Arial Narrow" w:hAnsi="Arial Narrow"/>
          <w:color w:val="000000"/>
          <w:sz w:val="18"/>
          <w:szCs w:val="18"/>
          <w:lang w:val="en-AU"/>
        </w:rPr>
        <w:t>31 on the steps ASX expects it to take in these circumstances.</w:t>
      </w:r>
    </w:p>
  </w:footnote>
  <w:footnote w:id="18">
    <w:p w:rsidR="003B6211" w:rsidRPr="009153D8" w:rsidRDefault="003B6211" w:rsidP="00710666">
      <w:pPr>
        <w:pStyle w:val="FootnoteText"/>
        <w:spacing w:after="60"/>
        <w:ind w:left="284" w:hanging="284"/>
        <w:jc w:val="left"/>
        <w:rPr>
          <w:rFonts w:ascii="Arial Narrow" w:hAnsi="Arial Narrow"/>
          <w:sz w:val="18"/>
          <w:szCs w:val="18"/>
        </w:rPr>
      </w:pPr>
      <w:r w:rsidRPr="00710666">
        <w:rPr>
          <w:rStyle w:val="FootnoteReference"/>
          <w:rFonts w:ascii="Arial Narrow" w:hAnsi="Arial Narrow"/>
          <w:position w:val="0"/>
          <w:szCs w:val="16"/>
          <w:vertAlign w:val="superscript"/>
        </w:rPr>
        <w:footnoteRef/>
      </w:r>
      <w:r>
        <w:tab/>
      </w:r>
      <w:r w:rsidRPr="009153D8">
        <w:rPr>
          <w:rFonts w:ascii="Arial Narrow" w:hAnsi="Arial Narrow"/>
          <w:sz w:val="18"/>
          <w:szCs w:val="18"/>
        </w:rPr>
        <w:t xml:space="preserve">JORC clause 38 defines a </w:t>
      </w:r>
      <w:r>
        <w:rPr>
          <w:rFonts w:ascii="Arial Narrow" w:hAnsi="Arial Narrow"/>
          <w:sz w:val="18"/>
          <w:szCs w:val="18"/>
        </w:rPr>
        <w:t>“s</w:t>
      </w:r>
      <w:r w:rsidRPr="009153D8">
        <w:rPr>
          <w:rFonts w:ascii="Arial Narrow" w:hAnsi="Arial Narrow"/>
          <w:sz w:val="18"/>
          <w:szCs w:val="18"/>
        </w:rPr>
        <w:t xml:space="preserve">coping </w:t>
      </w:r>
      <w:r>
        <w:rPr>
          <w:rFonts w:ascii="Arial Narrow" w:hAnsi="Arial Narrow"/>
          <w:sz w:val="18"/>
          <w:szCs w:val="18"/>
        </w:rPr>
        <w:t>s</w:t>
      </w:r>
      <w:r w:rsidRPr="009153D8">
        <w:rPr>
          <w:rFonts w:ascii="Arial Narrow" w:hAnsi="Arial Narrow"/>
          <w:sz w:val="18"/>
          <w:szCs w:val="18"/>
        </w:rPr>
        <w:t>tudy</w:t>
      </w:r>
      <w:r>
        <w:rPr>
          <w:rFonts w:ascii="Arial Narrow" w:hAnsi="Arial Narrow"/>
          <w:sz w:val="18"/>
          <w:szCs w:val="18"/>
        </w:rPr>
        <w:t>”</w:t>
      </w:r>
      <w:r w:rsidRPr="009153D8">
        <w:rPr>
          <w:rFonts w:ascii="Arial Narrow" w:hAnsi="Arial Narrow"/>
          <w:sz w:val="18"/>
          <w:szCs w:val="18"/>
        </w:rPr>
        <w:t xml:space="preserve"> as an order of magnitude technical and economic study of the potential viabi</w:t>
      </w:r>
      <w:r>
        <w:rPr>
          <w:rFonts w:ascii="Arial Narrow" w:hAnsi="Arial Narrow"/>
          <w:sz w:val="18"/>
          <w:szCs w:val="18"/>
        </w:rPr>
        <w:t>lity of m</w:t>
      </w:r>
      <w:r w:rsidRPr="009153D8">
        <w:rPr>
          <w:rFonts w:ascii="Arial Narrow" w:hAnsi="Arial Narrow"/>
          <w:sz w:val="18"/>
          <w:szCs w:val="18"/>
        </w:rPr>
        <w:t xml:space="preserve">ineral </w:t>
      </w:r>
      <w:r>
        <w:rPr>
          <w:rFonts w:ascii="Arial Narrow" w:hAnsi="Arial Narrow"/>
          <w:sz w:val="18"/>
          <w:szCs w:val="18"/>
        </w:rPr>
        <w:t>r</w:t>
      </w:r>
      <w:r w:rsidRPr="009153D8">
        <w:rPr>
          <w:rFonts w:ascii="Arial Narrow" w:hAnsi="Arial Narrow"/>
          <w:sz w:val="18"/>
          <w:szCs w:val="18"/>
        </w:rPr>
        <w:t xml:space="preserve">esources. It includes appropriate assessments of realistically assumed </w:t>
      </w:r>
      <w:r>
        <w:rPr>
          <w:rFonts w:ascii="Arial Narrow" w:hAnsi="Arial Narrow"/>
          <w:sz w:val="18"/>
          <w:szCs w:val="18"/>
        </w:rPr>
        <w:t>m</w:t>
      </w:r>
      <w:r w:rsidRPr="009153D8">
        <w:rPr>
          <w:rFonts w:ascii="Arial Narrow" w:hAnsi="Arial Narrow"/>
          <w:sz w:val="18"/>
          <w:szCs w:val="18"/>
        </w:rPr>
        <w:t xml:space="preserve">odifying </w:t>
      </w:r>
      <w:r>
        <w:rPr>
          <w:rFonts w:ascii="Arial Narrow" w:hAnsi="Arial Narrow"/>
          <w:sz w:val="18"/>
          <w:szCs w:val="18"/>
        </w:rPr>
        <w:t>f</w:t>
      </w:r>
      <w:r w:rsidRPr="009153D8">
        <w:rPr>
          <w:rFonts w:ascii="Arial Narrow" w:hAnsi="Arial Narrow"/>
          <w:sz w:val="18"/>
          <w:szCs w:val="18"/>
        </w:rPr>
        <w:t xml:space="preserve">actors together with any other relevant operational factors that are necessary to demonstrate at the time of reporting that progress to a </w:t>
      </w:r>
      <w:r>
        <w:rPr>
          <w:rFonts w:ascii="Arial Narrow" w:hAnsi="Arial Narrow"/>
          <w:sz w:val="18"/>
          <w:szCs w:val="18"/>
        </w:rPr>
        <w:t>pre-f</w:t>
      </w:r>
      <w:r w:rsidRPr="009153D8">
        <w:rPr>
          <w:rFonts w:ascii="Arial Narrow" w:hAnsi="Arial Narrow"/>
          <w:sz w:val="18"/>
          <w:szCs w:val="18"/>
        </w:rPr>
        <w:t xml:space="preserve">easibility </w:t>
      </w:r>
      <w:r>
        <w:rPr>
          <w:rFonts w:ascii="Arial Narrow" w:hAnsi="Arial Narrow"/>
          <w:sz w:val="18"/>
          <w:szCs w:val="18"/>
        </w:rPr>
        <w:t>s</w:t>
      </w:r>
      <w:r w:rsidRPr="009153D8">
        <w:rPr>
          <w:rFonts w:ascii="Arial Narrow" w:hAnsi="Arial Narrow"/>
          <w:sz w:val="18"/>
          <w:szCs w:val="18"/>
        </w:rPr>
        <w:t>tudy can be reasonably justified</w:t>
      </w:r>
      <w:r>
        <w:rPr>
          <w:rFonts w:ascii="Arial Narrow" w:hAnsi="Arial Narrow"/>
          <w:sz w:val="18"/>
          <w:szCs w:val="18"/>
        </w:rPr>
        <w:t>.</w:t>
      </w:r>
    </w:p>
  </w:footnote>
  <w:footnote w:id="19">
    <w:p w:rsidR="00790B87" w:rsidRPr="000A65ED" w:rsidRDefault="00790B87" w:rsidP="00790B87">
      <w:pPr>
        <w:pStyle w:val="FootnoteText"/>
        <w:spacing w:after="60"/>
        <w:ind w:left="284" w:hanging="284"/>
        <w:jc w:val="left"/>
        <w:rPr>
          <w:rFonts w:ascii="Arial Narrow" w:hAnsi="Arial Narrow"/>
          <w:color w:val="000000"/>
          <w:sz w:val="18"/>
          <w:szCs w:val="18"/>
          <w:lang w:val="en-AU"/>
        </w:rPr>
      </w:pPr>
      <w:r w:rsidRPr="00710666">
        <w:rPr>
          <w:rStyle w:val="FootnoteReference"/>
          <w:rFonts w:ascii="Arial Narrow" w:hAnsi="Arial Narrow"/>
          <w:position w:val="0"/>
          <w:szCs w:val="16"/>
          <w:vertAlign w:val="superscript"/>
        </w:rPr>
        <w:footnoteRef/>
      </w:r>
      <w:r>
        <w:rPr>
          <w:rFonts w:ascii="Arial Narrow" w:hAnsi="Arial Narrow"/>
        </w:rPr>
        <w:tab/>
      </w:r>
      <w:r w:rsidRPr="000A65ED">
        <w:rPr>
          <w:rFonts w:ascii="Arial Narrow" w:hAnsi="Arial Narrow"/>
          <w:sz w:val="18"/>
          <w:szCs w:val="18"/>
        </w:rPr>
        <w:t xml:space="preserve">Note that the cautionary statement </w:t>
      </w:r>
      <w:r w:rsidRPr="000A65ED">
        <w:rPr>
          <w:rFonts w:ascii="Arial Narrow" w:hAnsi="Arial Narrow"/>
          <w:color w:val="000000"/>
          <w:sz w:val="18"/>
          <w:szCs w:val="18"/>
          <w:lang w:val="en-AU"/>
        </w:rPr>
        <w:t xml:space="preserve">must be </w:t>
      </w:r>
      <w:r>
        <w:rPr>
          <w:rFonts w:ascii="Arial Narrow" w:hAnsi="Arial Narrow"/>
          <w:color w:val="000000"/>
          <w:sz w:val="18"/>
          <w:szCs w:val="18"/>
          <w:lang w:val="en-AU"/>
        </w:rPr>
        <w:t>in the same paragraph as, or immediately following, the disclosure of the scoping study.</w:t>
      </w:r>
    </w:p>
  </w:footnote>
  <w:footnote w:id="20">
    <w:p w:rsidR="009D2BF0" w:rsidRPr="00790B87" w:rsidRDefault="009D2BF0" w:rsidP="00710666">
      <w:pPr>
        <w:pStyle w:val="FootnoteText"/>
        <w:spacing w:after="60"/>
        <w:ind w:left="284" w:hanging="284"/>
        <w:rPr>
          <w:rFonts w:ascii="Arial Narrow" w:hAnsi="Arial Narrow"/>
          <w:sz w:val="18"/>
          <w:szCs w:val="18"/>
          <w:lang w:val="en-AU"/>
        </w:rPr>
      </w:pPr>
      <w:r w:rsidRPr="00790B87">
        <w:rPr>
          <w:rStyle w:val="FootnoteReference"/>
          <w:rFonts w:ascii="Arial Narrow" w:hAnsi="Arial Narrow"/>
          <w:position w:val="0"/>
          <w:sz w:val="18"/>
          <w:szCs w:val="18"/>
          <w:vertAlign w:val="superscript"/>
        </w:rPr>
        <w:footnoteRef/>
      </w:r>
      <w:r w:rsidRPr="00790B87">
        <w:rPr>
          <w:rFonts w:ascii="Arial Narrow" w:hAnsi="Arial Narrow"/>
          <w:sz w:val="18"/>
          <w:szCs w:val="18"/>
        </w:rPr>
        <w:tab/>
      </w:r>
      <w:r w:rsidRPr="00790B87">
        <w:rPr>
          <w:rFonts w:ascii="Arial Narrow" w:hAnsi="Arial Narrow"/>
          <w:sz w:val="18"/>
          <w:szCs w:val="18"/>
          <w:lang w:val="en-AU"/>
        </w:rPr>
        <w:t>ASX may require evidence to support expenditure claims.</w:t>
      </w:r>
    </w:p>
  </w:footnote>
  <w:footnote w:id="21">
    <w:p w:rsidR="00A60044" w:rsidRPr="005C0A5E" w:rsidRDefault="00A60044" w:rsidP="00710666">
      <w:pPr>
        <w:overflowPunct/>
        <w:spacing w:after="60"/>
        <w:ind w:left="284" w:hanging="284"/>
        <w:jc w:val="left"/>
        <w:textAlignment w:val="auto"/>
        <w:rPr>
          <w:rFonts w:ascii="Arial Narrow" w:hAnsi="Arial Narrow"/>
          <w:sz w:val="18"/>
          <w:szCs w:val="18"/>
          <w:lang w:val="en-AU"/>
        </w:rPr>
      </w:pPr>
      <w:r w:rsidRPr="00790B87">
        <w:rPr>
          <w:rStyle w:val="FootnoteReference"/>
          <w:rFonts w:ascii="Arial Narrow" w:hAnsi="Arial Narrow"/>
          <w:position w:val="0"/>
          <w:sz w:val="18"/>
          <w:szCs w:val="18"/>
          <w:vertAlign w:val="superscript"/>
        </w:rPr>
        <w:footnoteRef/>
      </w:r>
      <w:r w:rsidR="005C0A5E" w:rsidRPr="00790B87">
        <w:rPr>
          <w:sz w:val="18"/>
          <w:szCs w:val="18"/>
        </w:rPr>
        <w:tab/>
      </w:r>
      <w:r w:rsidR="00E83164" w:rsidRPr="00790B87">
        <w:rPr>
          <w:rFonts w:ascii="Arial Narrow" w:hAnsi="Arial Narrow" w:cs="Arial"/>
          <w:sz w:val="18"/>
          <w:szCs w:val="18"/>
          <w:lang w:val="en-AU" w:eastAsia="en-AU"/>
        </w:rPr>
        <w:t>An “h</w:t>
      </w:r>
      <w:r w:rsidRPr="00790B87">
        <w:rPr>
          <w:rFonts w:ascii="Arial Narrow" w:hAnsi="Arial Narrow" w:cs="Arial"/>
          <w:sz w:val="18"/>
          <w:szCs w:val="18"/>
          <w:lang w:val="en-AU" w:eastAsia="en-AU"/>
        </w:rPr>
        <w:t>istorical estimate</w:t>
      </w:r>
      <w:r w:rsidR="00E83164" w:rsidRPr="00790B87">
        <w:rPr>
          <w:rFonts w:ascii="Arial Narrow" w:hAnsi="Arial Narrow" w:cs="Arial"/>
          <w:sz w:val="18"/>
          <w:szCs w:val="18"/>
          <w:lang w:val="en-AU" w:eastAsia="en-AU"/>
        </w:rPr>
        <w:t>” i</w:t>
      </w:r>
      <w:r w:rsidRPr="00790B87">
        <w:rPr>
          <w:rFonts w:ascii="Arial Narrow" w:hAnsi="Arial Narrow" w:cs="Arial"/>
          <w:sz w:val="18"/>
          <w:szCs w:val="18"/>
          <w:lang w:val="en-AU" w:eastAsia="en-AU"/>
        </w:rPr>
        <w:t xml:space="preserve">s </w:t>
      </w:r>
      <w:r w:rsidR="00E83164" w:rsidRPr="00790B87">
        <w:rPr>
          <w:rFonts w:ascii="Arial Narrow" w:hAnsi="Arial Narrow" w:cs="Arial"/>
          <w:sz w:val="18"/>
          <w:szCs w:val="18"/>
          <w:lang w:val="en-AU" w:eastAsia="en-AU"/>
        </w:rPr>
        <w:t>an estimate of quantity and grade of mineralisation that is based on information and supporting documentation that was prepared prior to the introduction of JORC (1989) and which an entity has not verified as mineral resources or</w:t>
      </w:r>
      <w:r w:rsidR="00E83164" w:rsidRPr="00E83164">
        <w:rPr>
          <w:rFonts w:ascii="Arial Narrow" w:hAnsi="Arial Narrow" w:cs="Arial"/>
          <w:sz w:val="18"/>
          <w:szCs w:val="18"/>
          <w:lang w:val="en-AU" w:eastAsia="en-AU"/>
        </w:rPr>
        <w:t xml:space="preserve"> ore reserves in accordance with JORC (Listing Rule 19.12)</w:t>
      </w:r>
      <w:r w:rsidRPr="00E83164">
        <w:rPr>
          <w:rFonts w:ascii="Arial Narrow" w:hAnsi="Arial Narrow" w:cs="Arial"/>
          <w:sz w:val="18"/>
          <w:szCs w:val="18"/>
          <w:lang w:val="en-AU" w:eastAsia="en-AU"/>
        </w:rPr>
        <w:t>.</w:t>
      </w:r>
      <w:r w:rsidR="005C0A5E" w:rsidRPr="00E83164">
        <w:rPr>
          <w:rFonts w:ascii="Arial Narrow" w:hAnsi="Arial Narrow" w:cs="Arial"/>
          <w:sz w:val="18"/>
          <w:szCs w:val="18"/>
          <w:lang w:val="en-AU" w:eastAsia="en-AU"/>
        </w:rPr>
        <w:t xml:space="preserve"> </w:t>
      </w:r>
      <w:r w:rsidR="00E83164">
        <w:rPr>
          <w:rFonts w:ascii="Arial Narrow" w:hAnsi="Arial Narrow" w:cs="Arial"/>
          <w:sz w:val="18"/>
          <w:szCs w:val="18"/>
          <w:lang w:val="en-AU" w:eastAsia="en-AU"/>
        </w:rPr>
        <w:t xml:space="preserve">A ”foreign estimate” is an </w:t>
      </w:r>
      <w:r w:rsidR="00E83164" w:rsidRPr="00E83164">
        <w:rPr>
          <w:rFonts w:ascii="Arial Narrow" w:hAnsi="Arial Narrow" w:cs="Arial"/>
          <w:sz w:val="18"/>
          <w:szCs w:val="18"/>
          <w:lang w:val="en-AU" w:eastAsia="en-AU"/>
        </w:rPr>
        <w:t xml:space="preserve">estimate of quantity and grade of mineralisation that was prepared using a mineral resources classification and reporting standard from another jurisdiction prior to an entity acquiring, or entering into an agreement to acquire, an interest in a mining tenement that contains the deposit, and which the entity has not verified as mineral resources or ore reserves in accordance with JORC (Listing Rule 19.12). </w:t>
      </w:r>
      <w:r w:rsidR="005C0A5E" w:rsidRPr="00E83164">
        <w:rPr>
          <w:rFonts w:ascii="Arial Narrow" w:hAnsi="Arial Narrow" w:cs="Arial"/>
          <w:sz w:val="18"/>
          <w:szCs w:val="18"/>
          <w:lang w:val="en-AU" w:eastAsia="en-AU"/>
        </w:rPr>
        <w:t>Note that a</w:t>
      </w:r>
      <w:r w:rsidR="005C0A5E" w:rsidRPr="005C0A5E">
        <w:rPr>
          <w:rFonts w:ascii="Arial Narrow" w:hAnsi="Arial Narrow" w:cs="Arial"/>
          <w:sz w:val="18"/>
          <w:szCs w:val="18"/>
          <w:lang w:val="en-AU" w:eastAsia="en-AU"/>
        </w:rPr>
        <w:t>n entity must not include historical estimates or foreign estimates (other than qualifying foreign estimates) of mineralisation in an economic analysis (including a scoping study, preliminary feasibility study, or a feasibility study) of the entity’s mineral resources and ore reserves holdings (see Listing Rule 5.11)</w:t>
      </w:r>
      <w:r w:rsidR="005C0A5E">
        <w:rPr>
          <w:rFonts w:ascii="Arial Narrow" w:hAnsi="Arial Narrow" w:cs="Arial"/>
          <w:sz w:val="18"/>
          <w:szCs w:val="18"/>
          <w:lang w:val="en-AU" w:eastAsia="en-AU"/>
        </w:rPr>
        <w:t>.</w:t>
      </w:r>
    </w:p>
  </w:footnote>
  <w:footnote w:id="22">
    <w:p w:rsidR="006718FE" w:rsidRPr="000A65ED" w:rsidRDefault="006718FE" w:rsidP="00710666">
      <w:pPr>
        <w:pStyle w:val="FootnoteText"/>
        <w:spacing w:after="60"/>
        <w:ind w:left="284" w:hanging="284"/>
        <w:jc w:val="left"/>
        <w:rPr>
          <w:rFonts w:ascii="Arial Narrow" w:hAnsi="Arial Narrow"/>
          <w:color w:val="000000"/>
          <w:sz w:val="18"/>
          <w:szCs w:val="18"/>
          <w:lang w:val="en-AU"/>
        </w:rPr>
      </w:pPr>
      <w:r w:rsidRPr="00710666">
        <w:rPr>
          <w:rStyle w:val="FootnoteReference"/>
          <w:rFonts w:ascii="Arial Narrow" w:hAnsi="Arial Narrow"/>
          <w:position w:val="0"/>
          <w:szCs w:val="16"/>
          <w:vertAlign w:val="superscript"/>
        </w:rPr>
        <w:footnoteRef/>
      </w:r>
      <w:r>
        <w:rPr>
          <w:rFonts w:ascii="Arial Narrow" w:hAnsi="Arial Narrow"/>
        </w:rPr>
        <w:tab/>
      </w:r>
      <w:r w:rsidRPr="000A65ED">
        <w:rPr>
          <w:rFonts w:ascii="Arial Narrow" w:hAnsi="Arial Narrow"/>
          <w:sz w:val="18"/>
          <w:szCs w:val="18"/>
        </w:rPr>
        <w:t xml:space="preserve">Note that the cautionary statement </w:t>
      </w:r>
      <w:r w:rsidRPr="000A65ED">
        <w:rPr>
          <w:rFonts w:ascii="Arial Narrow" w:hAnsi="Arial Narrow"/>
          <w:color w:val="000000"/>
          <w:sz w:val="18"/>
          <w:szCs w:val="18"/>
          <w:lang w:val="en-AU"/>
        </w:rPr>
        <w:t xml:space="preserve">must be proximate to, and </w:t>
      </w:r>
      <w:r>
        <w:rPr>
          <w:rFonts w:ascii="Arial Narrow" w:hAnsi="Arial Narrow"/>
          <w:color w:val="000000"/>
          <w:sz w:val="18"/>
          <w:szCs w:val="18"/>
          <w:lang w:val="en-AU"/>
        </w:rPr>
        <w:t>have</w:t>
      </w:r>
      <w:r w:rsidRPr="000A65ED">
        <w:rPr>
          <w:rFonts w:ascii="Arial Narrow" w:hAnsi="Arial Narrow"/>
          <w:color w:val="000000"/>
          <w:sz w:val="18"/>
          <w:szCs w:val="18"/>
          <w:lang w:val="en-AU"/>
        </w:rPr>
        <w:t xml:space="preserve"> equal prominence as, the reported </w:t>
      </w:r>
      <w:r w:rsidR="00B2153A" w:rsidRPr="00B2153A">
        <w:rPr>
          <w:rFonts w:ascii="Arial Narrow" w:hAnsi="Arial Narrow"/>
          <w:color w:val="000000"/>
          <w:sz w:val="18"/>
          <w:szCs w:val="18"/>
          <w:lang w:val="en-AU"/>
        </w:rPr>
        <w:t>historical estimates or foreign estimates</w:t>
      </w:r>
      <w:r>
        <w:rPr>
          <w:rFonts w:ascii="Arial Narrow" w:hAnsi="Arial Narrow"/>
          <w:color w:val="000000"/>
          <w:sz w:val="18"/>
          <w:szCs w:val="18"/>
          <w:lang w:val="en-A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E636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5210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0028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64F0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2A78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4FF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34B0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8C3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094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6A08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6567744"/>
    <w:lvl w:ilvl="0">
      <w:numFmt w:val="decimal"/>
      <w:lvlText w:val="*"/>
      <w:lvlJc w:val="left"/>
    </w:lvl>
  </w:abstractNum>
  <w:abstractNum w:abstractNumId="11" w15:restartNumberingAfterBreak="0">
    <w:nsid w:val="13CB7AB3"/>
    <w:multiLevelType w:val="hybridMultilevel"/>
    <w:tmpl w:val="D8F4C71E"/>
    <w:lvl w:ilvl="0" w:tplc="6CB4A0B4">
      <w:start w:val="1"/>
      <w:numFmt w:val="bullet"/>
      <w:lvlText w:val=""/>
      <w:lvlJc w:val="left"/>
      <w:pPr>
        <w:tabs>
          <w:tab w:val="num" w:pos="2290"/>
        </w:tabs>
        <w:ind w:left="2290" w:hanging="360"/>
      </w:pPr>
      <w:rPr>
        <w:rFonts w:ascii="Symbol" w:hAnsi="Symbol" w:hint="default"/>
      </w:rPr>
    </w:lvl>
    <w:lvl w:ilvl="1" w:tplc="04090003">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2" w15:restartNumberingAfterBreak="0">
    <w:nsid w:val="43391B4E"/>
    <w:multiLevelType w:val="hybridMultilevel"/>
    <w:tmpl w:val="8A5EC9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BF7284"/>
    <w:multiLevelType w:val="singleLevel"/>
    <w:tmpl w:val="BD40FA6C"/>
    <w:lvl w:ilvl="0">
      <w:start w:val="1"/>
      <w:numFmt w:val="decimal"/>
      <w:lvlText w:val="%1. "/>
      <w:legacy w:legacy="1" w:legacySpace="0" w:legacyIndent="360"/>
      <w:lvlJc w:val="left"/>
      <w:pPr>
        <w:ind w:left="360" w:hanging="360"/>
      </w:pPr>
      <w:rPr>
        <w:rFonts w:ascii="Zurich Cn BT" w:hAnsi="Zurich Cn BT" w:hint="default"/>
        <w:b w:val="0"/>
        <w:i w:val="0"/>
        <w:sz w:val="20"/>
        <w:u w:val="none"/>
      </w:rPr>
    </w:lvl>
  </w:abstractNum>
  <w:abstractNum w:abstractNumId="14" w15:restartNumberingAfterBreak="0">
    <w:nsid w:val="60A021C1"/>
    <w:multiLevelType w:val="hybridMultilevel"/>
    <w:tmpl w:val="EF7C151E"/>
    <w:lvl w:ilvl="0" w:tplc="70F83D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C4136A"/>
    <w:multiLevelType w:val="hybridMultilevel"/>
    <w:tmpl w:val="8D44C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B648CD"/>
    <w:multiLevelType w:val="hybridMultilevel"/>
    <w:tmpl w:val="2D543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AB2484"/>
    <w:multiLevelType w:val="hybridMultilevel"/>
    <w:tmpl w:val="42AAE8B6"/>
    <w:lvl w:ilvl="0" w:tplc="0C090001">
      <w:start w:val="1"/>
      <w:numFmt w:val="bullet"/>
      <w:lvlText w:val=""/>
      <w:lvlJc w:val="left"/>
      <w:pPr>
        <w:ind w:left="757" w:hanging="360"/>
      </w:pPr>
      <w:rPr>
        <w:rFonts w:ascii="Symbol" w:hAnsi="Symbol" w:hint="default"/>
      </w:rPr>
    </w:lvl>
    <w:lvl w:ilvl="1" w:tplc="0C090003">
      <w:start w:val="1"/>
      <w:numFmt w:val="bullet"/>
      <w:lvlText w:val="o"/>
      <w:lvlJc w:val="left"/>
      <w:pPr>
        <w:ind w:left="1477" w:hanging="360"/>
      </w:pPr>
      <w:rPr>
        <w:rFonts w:ascii="Courier New" w:hAnsi="Courier New" w:cs="Courier New" w:hint="default"/>
      </w:rPr>
    </w:lvl>
    <w:lvl w:ilvl="2" w:tplc="0C090005">
      <w:start w:val="1"/>
      <w:numFmt w:val="bullet"/>
      <w:lvlText w:val=""/>
      <w:lvlJc w:val="left"/>
      <w:pPr>
        <w:ind w:left="2197" w:hanging="360"/>
      </w:pPr>
      <w:rPr>
        <w:rFonts w:ascii="Wingdings" w:hAnsi="Wingdings" w:hint="default"/>
      </w:rPr>
    </w:lvl>
    <w:lvl w:ilvl="3" w:tplc="0C090001">
      <w:start w:val="1"/>
      <w:numFmt w:val="bullet"/>
      <w:lvlText w:val=""/>
      <w:lvlJc w:val="left"/>
      <w:pPr>
        <w:ind w:left="2917" w:hanging="360"/>
      </w:pPr>
      <w:rPr>
        <w:rFonts w:ascii="Symbol" w:hAnsi="Symbol" w:hint="default"/>
      </w:rPr>
    </w:lvl>
    <w:lvl w:ilvl="4" w:tplc="0C090003">
      <w:start w:val="1"/>
      <w:numFmt w:val="bullet"/>
      <w:lvlText w:val="o"/>
      <w:lvlJc w:val="left"/>
      <w:pPr>
        <w:ind w:left="3637" w:hanging="360"/>
      </w:pPr>
      <w:rPr>
        <w:rFonts w:ascii="Courier New" w:hAnsi="Courier New" w:cs="Courier New" w:hint="default"/>
      </w:rPr>
    </w:lvl>
    <w:lvl w:ilvl="5" w:tplc="0C090005">
      <w:start w:val="1"/>
      <w:numFmt w:val="bullet"/>
      <w:lvlText w:val=""/>
      <w:lvlJc w:val="left"/>
      <w:pPr>
        <w:ind w:left="4357" w:hanging="360"/>
      </w:pPr>
      <w:rPr>
        <w:rFonts w:ascii="Wingdings" w:hAnsi="Wingdings" w:hint="default"/>
      </w:rPr>
    </w:lvl>
    <w:lvl w:ilvl="6" w:tplc="0C090001">
      <w:start w:val="1"/>
      <w:numFmt w:val="bullet"/>
      <w:lvlText w:val=""/>
      <w:lvlJc w:val="left"/>
      <w:pPr>
        <w:ind w:left="5077" w:hanging="360"/>
      </w:pPr>
      <w:rPr>
        <w:rFonts w:ascii="Symbol" w:hAnsi="Symbol" w:hint="default"/>
      </w:rPr>
    </w:lvl>
    <w:lvl w:ilvl="7" w:tplc="0C090003">
      <w:start w:val="1"/>
      <w:numFmt w:val="bullet"/>
      <w:lvlText w:val="o"/>
      <w:lvlJc w:val="left"/>
      <w:pPr>
        <w:ind w:left="5797" w:hanging="360"/>
      </w:pPr>
      <w:rPr>
        <w:rFonts w:ascii="Courier New" w:hAnsi="Courier New" w:cs="Courier New" w:hint="default"/>
      </w:rPr>
    </w:lvl>
    <w:lvl w:ilvl="8" w:tplc="0C090005">
      <w:start w:val="1"/>
      <w:numFmt w:val="bullet"/>
      <w:lvlText w:val=""/>
      <w:lvlJc w:val="left"/>
      <w:pPr>
        <w:ind w:left="6517" w:hanging="360"/>
      </w:pPr>
      <w:rPr>
        <w:rFonts w:ascii="Wingdings" w:hAnsi="Wingdings" w:hint="default"/>
      </w:rPr>
    </w:lvl>
  </w:abstractNum>
  <w:abstractNum w:abstractNumId="18" w15:restartNumberingAfterBreak="0">
    <w:nsid w:val="6CDA3D8B"/>
    <w:multiLevelType w:val="hybridMultilevel"/>
    <w:tmpl w:val="90BE30C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54131F"/>
    <w:multiLevelType w:val="hybridMultilevel"/>
    <w:tmpl w:val="74B0207E"/>
    <w:lvl w:ilvl="0" w:tplc="2C66991C">
      <w:start w:val="1"/>
      <w:numFmt w:val="lowerLetter"/>
      <w:lvlText w:val="(%1)"/>
      <w:lvlJc w:val="left"/>
      <w:pPr>
        <w:ind w:left="930" w:hanging="570"/>
      </w:pPr>
      <w:rPr>
        <w:rFonts w:ascii="ClassGarmnd BT" w:hAnsi="ClassGarmnd B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lvlOverride w:ilvl="0">
      <w:lvl w:ilvl="0">
        <w:start w:val="1"/>
        <w:numFmt w:val="bullet"/>
        <w:lvlText w:val=""/>
        <w:legacy w:legacy="1" w:legacySpace="0" w:legacyIndent="283"/>
        <w:lvlJc w:val="left"/>
        <w:pPr>
          <w:ind w:left="1134" w:hanging="283"/>
        </w:pPr>
        <w:rPr>
          <w:rFonts w:ascii="Symbol" w:hAnsi="Symbol" w:hint="default"/>
          <w:sz w:val="20"/>
        </w:rPr>
      </w:lvl>
    </w:lvlOverride>
  </w:num>
  <w:num w:numId="3">
    <w:abstractNumId w:val="10"/>
    <w:lvlOverride w:ilvl="0">
      <w:lvl w:ilvl="0">
        <w:start w:val="1"/>
        <w:numFmt w:val="bullet"/>
        <w:lvlText w:val=""/>
        <w:legacy w:legacy="1" w:legacySpace="0" w:legacyIndent="851"/>
        <w:lvlJc w:val="left"/>
        <w:pPr>
          <w:ind w:left="1702" w:hanging="851"/>
        </w:pPr>
        <w:rPr>
          <w:rFonts w:ascii="Symbol" w:hAnsi="Symbol" w:hint="default"/>
        </w:rPr>
      </w:lvl>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4"/>
  </w:num>
  <w:num w:numId="16">
    <w:abstractNumId w:val="16"/>
  </w:num>
  <w:num w:numId="17">
    <w:abstractNumId w:val="19"/>
  </w:num>
  <w:num w:numId="18">
    <w:abstractNumId w:val="13"/>
  </w:num>
  <w:num w:numId="19">
    <w:abstractNumId w:val="10"/>
    <w:lvlOverride w:ilvl="0">
      <w:lvl w:ilvl="0">
        <w:start w:val="1"/>
        <w:numFmt w:val="bullet"/>
        <w:lvlText w:val=""/>
        <w:legacy w:legacy="1" w:legacySpace="0" w:legacyIndent="307"/>
        <w:lvlJc w:val="left"/>
        <w:pPr>
          <w:ind w:left="704" w:hanging="307"/>
        </w:pPr>
        <w:rPr>
          <w:rFonts w:ascii="Symbol" w:hAnsi="Symbol" w:hint="default"/>
        </w:rPr>
      </w:lvl>
    </w:lvlOverride>
  </w:num>
  <w:num w:numId="20">
    <w:abstractNumId w:val="17"/>
  </w:num>
  <w:num w:numId="21">
    <w:abstractNumId w:val="15"/>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1745"/>
  </w:hdrShapeDefaults>
  <w:footnotePr>
    <w:footnote w:id="-1"/>
    <w:footnote w:id="0"/>
    <w:footnote w:id="1"/>
  </w:footnotePr>
  <w:endnotePr>
    <w:endnote w:id="-1"/>
    <w:endnote w:id="0"/>
  </w:endnotePr>
  <w:compat>
    <w:spaceForUL/>
    <w:balanceSingleByteDoubleByteWidth/>
    <w:doNotLeaveBackslashAlone/>
    <w:ulTrailSpace/>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7D"/>
    <w:rsid w:val="00031BBE"/>
    <w:rsid w:val="000378EB"/>
    <w:rsid w:val="000449B1"/>
    <w:rsid w:val="00056854"/>
    <w:rsid w:val="00056978"/>
    <w:rsid w:val="00063B46"/>
    <w:rsid w:val="0008551E"/>
    <w:rsid w:val="0008761C"/>
    <w:rsid w:val="000A48B7"/>
    <w:rsid w:val="000A65ED"/>
    <w:rsid w:val="000B0AC6"/>
    <w:rsid w:val="000B74E3"/>
    <w:rsid w:val="000E6CC9"/>
    <w:rsid w:val="000F23B6"/>
    <w:rsid w:val="00103CE8"/>
    <w:rsid w:val="00104853"/>
    <w:rsid w:val="0010774E"/>
    <w:rsid w:val="001079CE"/>
    <w:rsid w:val="00115F3E"/>
    <w:rsid w:val="001225DC"/>
    <w:rsid w:val="00122C1C"/>
    <w:rsid w:val="00124D06"/>
    <w:rsid w:val="00134E94"/>
    <w:rsid w:val="00140593"/>
    <w:rsid w:val="001431A8"/>
    <w:rsid w:val="0014414B"/>
    <w:rsid w:val="00150B7D"/>
    <w:rsid w:val="00161D82"/>
    <w:rsid w:val="00165B27"/>
    <w:rsid w:val="00170EAA"/>
    <w:rsid w:val="00183E81"/>
    <w:rsid w:val="00184A4C"/>
    <w:rsid w:val="001B4D93"/>
    <w:rsid w:val="001B7DE0"/>
    <w:rsid w:val="001C463B"/>
    <w:rsid w:val="001C5F6F"/>
    <w:rsid w:val="001D0B5A"/>
    <w:rsid w:val="001D2A7E"/>
    <w:rsid w:val="001D5525"/>
    <w:rsid w:val="001E23BD"/>
    <w:rsid w:val="001E30B3"/>
    <w:rsid w:val="001F34A4"/>
    <w:rsid w:val="001F3EDE"/>
    <w:rsid w:val="00202342"/>
    <w:rsid w:val="00207623"/>
    <w:rsid w:val="00211AEA"/>
    <w:rsid w:val="00217C74"/>
    <w:rsid w:val="00220950"/>
    <w:rsid w:val="002347A3"/>
    <w:rsid w:val="00234C05"/>
    <w:rsid w:val="002403B7"/>
    <w:rsid w:val="002424F5"/>
    <w:rsid w:val="0024727D"/>
    <w:rsid w:val="002512D7"/>
    <w:rsid w:val="00264DA4"/>
    <w:rsid w:val="002721E8"/>
    <w:rsid w:val="0029131D"/>
    <w:rsid w:val="002A542A"/>
    <w:rsid w:val="002C20C8"/>
    <w:rsid w:val="002C3404"/>
    <w:rsid w:val="002D1477"/>
    <w:rsid w:val="002D374B"/>
    <w:rsid w:val="002D46C0"/>
    <w:rsid w:val="002D5F0A"/>
    <w:rsid w:val="002E08EE"/>
    <w:rsid w:val="002E4208"/>
    <w:rsid w:val="002E451F"/>
    <w:rsid w:val="002F1592"/>
    <w:rsid w:val="002F4340"/>
    <w:rsid w:val="002F5598"/>
    <w:rsid w:val="0030096B"/>
    <w:rsid w:val="00314175"/>
    <w:rsid w:val="00342CEC"/>
    <w:rsid w:val="00346820"/>
    <w:rsid w:val="00346ACE"/>
    <w:rsid w:val="003516E1"/>
    <w:rsid w:val="00366100"/>
    <w:rsid w:val="00366975"/>
    <w:rsid w:val="00376507"/>
    <w:rsid w:val="00376668"/>
    <w:rsid w:val="003845AA"/>
    <w:rsid w:val="0038678B"/>
    <w:rsid w:val="003959D0"/>
    <w:rsid w:val="003A2A8B"/>
    <w:rsid w:val="003A6519"/>
    <w:rsid w:val="003B6211"/>
    <w:rsid w:val="003C21D5"/>
    <w:rsid w:val="003D1092"/>
    <w:rsid w:val="003D2C10"/>
    <w:rsid w:val="003E435B"/>
    <w:rsid w:val="00446DD9"/>
    <w:rsid w:val="00447144"/>
    <w:rsid w:val="00481349"/>
    <w:rsid w:val="00487E15"/>
    <w:rsid w:val="0049158C"/>
    <w:rsid w:val="004A53A2"/>
    <w:rsid w:val="004A7EC4"/>
    <w:rsid w:val="004B0D4B"/>
    <w:rsid w:val="004B2CDC"/>
    <w:rsid w:val="004B7606"/>
    <w:rsid w:val="004E05DC"/>
    <w:rsid w:val="004F346E"/>
    <w:rsid w:val="004F7BB2"/>
    <w:rsid w:val="0050209D"/>
    <w:rsid w:val="005078E9"/>
    <w:rsid w:val="00510039"/>
    <w:rsid w:val="00530577"/>
    <w:rsid w:val="00544F1C"/>
    <w:rsid w:val="00554286"/>
    <w:rsid w:val="0056547B"/>
    <w:rsid w:val="00576FB1"/>
    <w:rsid w:val="005869E8"/>
    <w:rsid w:val="00592D86"/>
    <w:rsid w:val="005A5A80"/>
    <w:rsid w:val="005A6AD7"/>
    <w:rsid w:val="005C0A5E"/>
    <w:rsid w:val="005C1D70"/>
    <w:rsid w:val="005F2176"/>
    <w:rsid w:val="00600833"/>
    <w:rsid w:val="00602EF6"/>
    <w:rsid w:val="00612DC7"/>
    <w:rsid w:val="00613E14"/>
    <w:rsid w:val="0061655B"/>
    <w:rsid w:val="006218AE"/>
    <w:rsid w:val="00621975"/>
    <w:rsid w:val="00631354"/>
    <w:rsid w:val="006367B0"/>
    <w:rsid w:val="00645AA6"/>
    <w:rsid w:val="00647ED3"/>
    <w:rsid w:val="006656F2"/>
    <w:rsid w:val="00665995"/>
    <w:rsid w:val="006718FE"/>
    <w:rsid w:val="0068325B"/>
    <w:rsid w:val="006853D9"/>
    <w:rsid w:val="006A0044"/>
    <w:rsid w:val="006A168F"/>
    <w:rsid w:val="006B2686"/>
    <w:rsid w:val="006B7202"/>
    <w:rsid w:val="006C594D"/>
    <w:rsid w:val="006D284B"/>
    <w:rsid w:val="006D57BB"/>
    <w:rsid w:val="006D5AC7"/>
    <w:rsid w:val="006D6729"/>
    <w:rsid w:val="006E10AB"/>
    <w:rsid w:val="006E14BD"/>
    <w:rsid w:val="006E2841"/>
    <w:rsid w:val="00702A1D"/>
    <w:rsid w:val="00704E40"/>
    <w:rsid w:val="0070776B"/>
    <w:rsid w:val="00707950"/>
    <w:rsid w:val="00710666"/>
    <w:rsid w:val="0071186A"/>
    <w:rsid w:val="00713BF7"/>
    <w:rsid w:val="00714F58"/>
    <w:rsid w:val="007177D9"/>
    <w:rsid w:val="0072155E"/>
    <w:rsid w:val="0072256D"/>
    <w:rsid w:val="007229A8"/>
    <w:rsid w:val="007363DF"/>
    <w:rsid w:val="00742870"/>
    <w:rsid w:val="007459CD"/>
    <w:rsid w:val="00750227"/>
    <w:rsid w:val="0075078F"/>
    <w:rsid w:val="00753CBC"/>
    <w:rsid w:val="0076492F"/>
    <w:rsid w:val="00771F3A"/>
    <w:rsid w:val="00777B8C"/>
    <w:rsid w:val="00786C55"/>
    <w:rsid w:val="00790B87"/>
    <w:rsid w:val="00792E16"/>
    <w:rsid w:val="0079544B"/>
    <w:rsid w:val="00795ECF"/>
    <w:rsid w:val="007A02D3"/>
    <w:rsid w:val="007B19DD"/>
    <w:rsid w:val="007D06BB"/>
    <w:rsid w:val="007E27FE"/>
    <w:rsid w:val="007E4056"/>
    <w:rsid w:val="008031EA"/>
    <w:rsid w:val="00827BE9"/>
    <w:rsid w:val="0083466F"/>
    <w:rsid w:val="00834912"/>
    <w:rsid w:val="00835256"/>
    <w:rsid w:val="008409C1"/>
    <w:rsid w:val="008465DF"/>
    <w:rsid w:val="00862849"/>
    <w:rsid w:val="00867940"/>
    <w:rsid w:val="00876CB2"/>
    <w:rsid w:val="00885F27"/>
    <w:rsid w:val="00894E1A"/>
    <w:rsid w:val="008A17D5"/>
    <w:rsid w:val="008A292F"/>
    <w:rsid w:val="008D34BE"/>
    <w:rsid w:val="008D5CE4"/>
    <w:rsid w:val="008F02C8"/>
    <w:rsid w:val="008F0683"/>
    <w:rsid w:val="008F57AB"/>
    <w:rsid w:val="00903B17"/>
    <w:rsid w:val="00906E5B"/>
    <w:rsid w:val="009113B8"/>
    <w:rsid w:val="0091534C"/>
    <w:rsid w:val="009153D8"/>
    <w:rsid w:val="0092060A"/>
    <w:rsid w:val="00933834"/>
    <w:rsid w:val="00947A7C"/>
    <w:rsid w:val="00950F8E"/>
    <w:rsid w:val="00952B76"/>
    <w:rsid w:val="00957865"/>
    <w:rsid w:val="00960E9B"/>
    <w:rsid w:val="00977075"/>
    <w:rsid w:val="009817BE"/>
    <w:rsid w:val="00982C29"/>
    <w:rsid w:val="00982CE2"/>
    <w:rsid w:val="009902A6"/>
    <w:rsid w:val="00990712"/>
    <w:rsid w:val="009C685A"/>
    <w:rsid w:val="009D2BF0"/>
    <w:rsid w:val="009D760C"/>
    <w:rsid w:val="009F3EDD"/>
    <w:rsid w:val="009F652F"/>
    <w:rsid w:val="009F663F"/>
    <w:rsid w:val="009F7D5F"/>
    <w:rsid w:val="00A03281"/>
    <w:rsid w:val="00A05137"/>
    <w:rsid w:val="00A14B19"/>
    <w:rsid w:val="00A15088"/>
    <w:rsid w:val="00A169DE"/>
    <w:rsid w:val="00A21E17"/>
    <w:rsid w:val="00A23F94"/>
    <w:rsid w:val="00A305B6"/>
    <w:rsid w:val="00A3135C"/>
    <w:rsid w:val="00A37466"/>
    <w:rsid w:val="00A44E39"/>
    <w:rsid w:val="00A47585"/>
    <w:rsid w:val="00A51530"/>
    <w:rsid w:val="00A53360"/>
    <w:rsid w:val="00A564B0"/>
    <w:rsid w:val="00A60044"/>
    <w:rsid w:val="00A602D0"/>
    <w:rsid w:val="00A626C4"/>
    <w:rsid w:val="00A66AB0"/>
    <w:rsid w:val="00A6701D"/>
    <w:rsid w:val="00A74A02"/>
    <w:rsid w:val="00A750E2"/>
    <w:rsid w:val="00A831CB"/>
    <w:rsid w:val="00A91BE3"/>
    <w:rsid w:val="00A97AF2"/>
    <w:rsid w:val="00AA5FE4"/>
    <w:rsid w:val="00AA669D"/>
    <w:rsid w:val="00AB346C"/>
    <w:rsid w:val="00AB4CB5"/>
    <w:rsid w:val="00AD2D9E"/>
    <w:rsid w:val="00AE00D7"/>
    <w:rsid w:val="00AE6552"/>
    <w:rsid w:val="00AE71CC"/>
    <w:rsid w:val="00AF3D2F"/>
    <w:rsid w:val="00AF4322"/>
    <w:rsid w:val="00AF7863"/>
    <w:rsid w:val="00B00E63"/>
    <w:rsid w:val="00B04E17"/>
    <w:rsid w:val="00B15E54"/>
    <w:rsid w:val="00B2153A"/>
    <w:rsid w:val="00B304F6"/>
    <w:rsid w:val="00B36CD4"/>
    <w:rsid w:val="00B43E31"/>
    <w:rsid w:val="00B60813"/>
    <w:rsid w:val="00B9331B"/>
    <w:rsid w:val="00B9598E"/>
    <w:rsid w:val="00BA37C2"/>
    <w:rsid w:val="00BA6D86"/>
    <w:rsid w:val="00BB0CEE"/>
    <w:rsid w:val="00BC329E"/>
    <w:rsid w:val="00BD44EE"/>
    <w:rsid w:val="00BD7577"/>
    <w:rsid w:val="00BE2B54"/>
    <w:rsid w:val="00BE7317"/>
    <w:rsid w:val="00C03A96"/>
    <w:rsid w:val="00C0582B"/>
    <w:rsid w:val="00C112B4"/>
    <w:rsid w:val="00C174F4"/>
    <w:rsid w:val="00C20B63"/>
    <w:rsid w:val="00C23829"/>
    <w:rsid w:val="00C41E3F"/>
    <w:rsid w:val="00C44DE9"/>
    <w:rsid w:val="00C525C2"/>
    <w:rsid w:val="00C5570F"/>
    <w:rsid w:val="00C7414D"/>
    <w:rsid w:val="00C77BAA"/>
    <w:rsid w:val="00C81454"/>
    <w:rsid w:val="00C81920"/>
    <w:rsid w:val="00C84666"/>
    <w:rsid w:val="00C86D99"/>
    <w:rsid w:val="00C97EAF"/>
    <w:rsid w:val="00CA4F8B"/>
    <w:rsid w:val="00CA706F"/>
    <w:rsid w:val="00CB69C4"/>
    <w:rsid w:val="00CB7761"/>
    <w:rsid w:val="00CD00FD"/>
    <w:rsid w:val="00CD7BB3"/>
    <w:rsid w:val="00CE2A5F"/>
    <w:rsid w:val="00CF29F5"/>
    <w:rsid w:val="00D032C5"/>
    <w:rsid w:val="00D145A3"/>
    <w:rsid w:val="00D2717B"/>
    <w:rsid w:val="00D40162"/>
    <w:rsid w:val="00D4693D"/>
    <w:rsid w:val="00D47578"/>
    <w:rsid w:val="00D6755D"/>
    <w:rsid w:val="00D7362E"/>
    <w:rsid w:val="00D87B03"/>
    <w:rsid w:val="00D928A9"/>
    <w:rsid w:val="00DB5513"/>
    <w:rsid w:val="00DC6F87"/>
    <w:rsid w:val="00DD03F8"/>
    <w:rsid w:val="00DD1724"/>
    <w:rsid w:val="00E27E8B"/>
    <w:rsid w:val="00E45551"/>
    <w:rsid w:val="00E503B3"/>
    <w:rsid w:val="00E55862"/>
    <w:rsid w:val="00E56332"/>
    <w:rsid w:val="00E83164"/>
    <w:rsid w:val="00E84847"/>
    <w:rsid w:val="00E8489F"/>
    <w:rsid w:val="00E87700"/>
    <w:rsid w:val="00EA1248"/>
    <w:rsid w:val="00EB501A"/>
    <w:rsid w:val="00EC1F39"/>
    <w:rsid w:val="00EC3885"/>
    <w:rsid w:val="00EC393A"/>
    <w:rsid w:val="00EC6288"/>
    <w:rsid w:val="00ED09EF"/>
    <w:rsid w:val="00EF1A43"/>
    <w:rsid w:val="00EF5C5B"/>
    <w:rsid w:val="00F000C8"/>
    <w:rsid w:val="00F005C3"/>
    <w:rsid w:val="00F010CC"/>
    <w:rsid w:val="00F17805"/>
    <w:rsid w:val="00F41985"/>
    <w:rsid w:val="00F56AA3"/>
    <w:rsid w:val="00F56CB7"/>
    <w:rsid w:val="00F6184F"/>
    <w:rsid w:val="00F66FAB"/>
    <w:rsid w:val="00F72D67"/>
    <w:rsid w:val="00F76FF3"/>
    <w:rsid w:val="00F846CA"/>
    <w:rsid w:val="00FA0103"/>
    <w:rsid w:val="00FB4D28"/>
    <w:rsid w:val="00FB5721"/>
    <w:rsid w:val="00FB7B07"/>
    <w:rsid w:val="00FD1188"/>
    <w:rsid w:val="00FE21F2"/>
    <w:rsid w:val="00FF1E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FE9D6D0"/>
  <w15:chartTrackingRefBased/>
  <w15:docId w15:val="{983C092C-A9DA-4432-8E6D-327143BD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ind w:left="851" w:hanging="851"/>
      <w:jc w:val="both"/>
      <w:textAlignment w:val="baseline"/>
    </w:pPr>
    <w:rPr>
      <w:rFonts w:ascii="ClassGarmnd BT" w:hAnsi="ClassGarmnd BT"/>
      <w:sz w:val="22"/>
      <w:lang w:val="en-GB" w:eastAsia="en-US"/>
    </w:rPr>
  </w:style>
  <w:style w:type="paragraph" w:styleId="Heading1">
    <w:name w:val="heading 1"/>
    <w:basedOn w:val="Normal"/>
    <w:next w:val="Normal"/>
    <w:link w:val="Heading1Char"/>
    <w:qFormat/>
    <w:pPr>
      <w:jc w:val="center"/>
      <w:outlineLvl w:val="0"/>
    </w:pPr>
    <w:rPr>
      <w:rFonts w:ascii="Zurich Cn BT" w:hAnsi="Zurich Cn BT"/>
      <w:b/>
      <w:sz w:val="48"/>
    </w:rPr>
  </w:style>
  <w:style w:type="paragraph" w:styleId="Heading2">
    <w:name w:val="heading 2"/>
    <w:basedOn w:val="Normal"/>
    <w:next w:val="Normal"/>
    <w:link w:val="Heading2Char"/>
    <w:qFormat/>
    <w:pPr>
      <w:ind w:left="0" w:firstLine="0"/>
      <w:outlineLvl w:val="1"/>
    </w:pPr>
    <w:rPr>
      <w:rFonts w:ascii="Zurich Cn BT" w:hAnsi="Zurich Cn BT"/>
      <w:b/>
      <w:sz w:val="32"/>
    </w:rPr>
  </w:style>
  <w:style w:type="paragraph" w:styleId="Heading3">
    <w:name w:val="heading 3"/>
    <w:aliases w:val="d"/>
    <w:basedOn w:val="Normal"/>
    <w:next w:val="Normal"/>
    <w:qFormat/>
    <w:pPr>
      <w:ind w:left="0" w:firstLine="0"/>
      <w:outlineLvl w:val="2"/>
    </w:pPr>
    <w:rPr>
      <w:b/>
      <w:sz w:val="26"/>
    </w:rPr>
  </w:style>
  <w:style w:type="paragraph" w:styleId="Heading4">
    <w:name w:val="heading 4"/>
    <w:aliases w:val="sd"/>
    <w:basedOn w:val="Normal"/>
    <w:next w:val="Normal"/>
    <w:link w:val="Heading4Char"/>
    <w:qFormat/>
    <w:pPr>
      <w:ind w:left="0" w:firstLine="0"/>
      <w:outlineLvl w:val="3"/>
    </w:pPr>
    <w:rPr>
      <w:b/>
    </w:rPr>
  </w:style>
  <w:style w:type="paragraph" w:styleId="Heading5">
    <w:name w:val="heading 5"/>
    <w:basedOn w:val="Normal"/>
    <w:next w:val="Normal"/>
    <w:qFormat/>
    <w:pPr>
      <w:ind w:left="720"/>
      <w:outlineLvl w:val="4"/>
    </w:pPr>
    <w:rPr>
      <w:rFonts w:ascii="Times" w:hAnsi="Times"/>
      <w:b/>
    </w:rPr>
  </w:style>
  <w:style w:type="paragraph" w:styleId="Heading6">
    <w:name w:val="heading 6"/>
    <w:basedOn w:val="Normal"/>
    <w:next w:val="Normal"/>
    <w:qFormat/>
    <w:pPr>
      <w:ind w:left="720"/>
      <w:outlineLvl w:val="5"/>
    </w:pPr>
    <w:rPr>
      <w:rFonts w:ascii="Times" w:hAnsi="Times"/>
      <w:u w:val="single"/>
    </w:rPr>
  </w:style>
  <w:style w:type="paragraph" w:styleId="Heading7">
    <w:name w:val="heading 7"/>
    <w:basedOn w:val="Normal"/>
    <w:next w:val="Normal"/>
    <w:qFormat/>
    <w:pPr>
      <w:ind w:left="720"/>
      <w:outlineLvl w:val="6"/>
    </w:pPr>
    <w:rPr>
      <w:rFonts w:ascii="Times" w:hAnsi="Times"/>
      <w:i/>
    </w:rPr>
  </w:style>
  <w:style w:type="paragraph" w:styleId="Heading8">
    <w:name w:val="heading 8"/>
    <w:basedOn w:val="Normal"/>
    <w:next w:val="Normal"/>
    <w:qFormat/>
    <w:pPr>
      <w:ind w:left="720"/>
      <w:outlineLvl w:val="7"/>
    </w:pPr>
    <w:rPr>
      <w:rFonts w:ascii="Times" w:hAnsi="Times"/>
      <w:i/>
    </w:rPr>
  </w:style>
  <w:style w:type="paragraph" w:styleId="Heading9">
    <w:name w:val="heading 9"/>
    <w:basedOn w:val="Normal"/>
    <w:next w:val="Normal"/>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16"/>
    </w:rPr>
  </w:style>
  <w:style w:type="paragraph" w:styleId="Header">
    <w:name w:val="header"/>
    <w:basedOn w:val="Normal"/>
    <w:next w:val="Normal"/>
    <w:pPr>
      <w:tabs>
        <w:tab w:val="center" w:pos="4320"/>
        <w:tab w:val="right" w:pos="8640"/>
      </w:tabs>
    </w:pPr>
    <w:rPr>
      <w:b/>
    </w:rPr>
  </w:style>
  <w:style w:type="character" w:styleId="FootnoteReference">
    <w:name w:val="footnote reference"/>
    <w:rPr>
      <w:position w:val="6"/>
      <w:sz w:val="16"/>
    </w:rPr>
  </w:style>
  <w:style w:type="paragraph" w:styleId="FootnoteText">
    <w:name w:val="footnote text"/>
    <w:basedOn w:val="Normal"/>
    <w:link w:val="FootnoteTextChar"/>
  </w:style>
  <w:style w:type="paragraph" w:customStyle="1" w:styleId="historytext">
    <w:name w:val="historytext"/>
    <w:basedOn w:val="Normal"/>
    <w:next w:val="Normal"/>
    <w:pPr>
      <w:spacing w:before="120"/>
    </w:pPr>
    <w:rPr>
      <w:sz w:val="14"/>
    </w:rPr>
  </w:style>
  <w:style w:type="paragraph" w:customStyle="1" w:styleId="Caption-BOX">
    <w:name w:val="Caption-BOX"/>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Heading19">
    <w:name w:val="Heading 19"/>
    <w:basedOn w:val="Normal"/>
    <w:pPr>
      <w:ind w:left="0" w:firstLine="0"/>
    </w:pPr>
    <w:rPr>
      <w:i/>
      <w:sz w:val="18"/>
      <w:lang w:val="en-AU"/>
    </w:rPr>
  </w:style>
  <w:style w:type="paragraph" w:customStyle="1" w:styleId="boxstyle">
    <w:name w:val="boxstyle"/>
    <w:basedOn w:val="Normal"/>
    <w:pPr>
      <w:ind w:left="0" w:firstLine="0"/>
    </w:pPr>
    <w:rPr>
      <w:color w:val="000000"/>
      <w:sz w:val="20"/>
      <w:lang w:val="en-AU"/>
    </w:rPr>
  </w:style>
  <w:style w:type="paragraph" w:customStyle="1" w:styleId="tick">
    <w:name w:val="tick"/>
    <w:basedOn w:val="boxstyle"/>
    <w:rPr>
      <w:rFonts w:ascii="Wingdings" w:hAnsi="Wingdings"/>
      <w:sz w:val="36"/>
    </w:rPr>
  </w:style>
  <w:style w:type="paragraph" w:customStyle="1" w:styleId="definitions">
    <w:name w:val="definitions"/>
    <w:basedOn w:val="Normal"/>
    <w:next w:val="Normal"/>
    <w:rPr>
      <w:rFonts w:ascii="Helvetica" w:hAnsi="Helvetica"/>
      <w:lang w:val="en-AU"/>
    </w:rPr>
  </w:style>
  <w:style w:type="paragraph" w:customStyle="1" w:styleId="deleted">
    <w:name w:val="deleted"/>
    <w:basedOn w:val="boxstyle"/>
    <w:pPr>
      <w:spacing w:before="40"/>
    </w:pPr>
    <w:rPr>
      <w:color w:val="auto"/>
      <w:sz w:val="14"/>
    </w:rPr>
  </w:style>
  <w:style w:type="character" w:customStyle="1" w:styleId="superscript">
    <w:name w:val="superscript"/>
    <w:rPr>
      <w:rFonts w:ascii="Century Schoolbook" w:hAnsi="Century Schoolbook"/>
      <w:position w:val="6"/>
      <w:sz w:val="14"/>
    </w:rPr>
  </w:style>
  <w:style w:type="paragraph" w:styleId="BodyTextIndent2">
    <w:name w:val="Body Text Indent 2"/>
    <w:basedOn w:val="Normal"/>
    <w:rPr>
      <w:color w:val="000000"/>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851" w:hanging="851"/>
      <w:jc w:val="both"/>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ind w:left="0"/>
    </w:p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CommentReference">
    <w:name w:val="annotation reference"/>
    <w:rsid w:val="003D2C10"/>
    <w:rPr>
      <w:sz w:val="16"/>
      <w:szCs w:val="16"/>
    </w:rPr>
  </w:style>
  <w:style w:type="paragraph" w:styleId="CommentSubject">
    <w:name w:val="annotation subject"/>
    <w:basedOn w:val="CommentText"/>
    <w:next w:val="CommentText"/>
    <w:link w:val="CommentSubjectChar"/>
    <w:rsid w:val="003D2C10"/>
    <w:rPr>
      <w:b/>
      <w:bCs/>
    </w:rPr>
  </w:style>
  <w:style w:type="character" w:customStyle="1" w:styleId="CommentTextChar">
    <w:name w:val="Comment Text Char"/>
    <w:link w:val="CommentText"/>
    <w:semiHidden/>
    <w:rsid w:val="003D2C10"/>
    <w:rPr>
      <w:rFonts w:ascii="ClassGarmnd BT" w:hAnsi="ClassGarmnd BT"/>
      <w:lang w:val="en-GB" w:eastAsia="en-US"/>
    </w:rPr>
  </w:style>
  <w:style w:type="character" w:customStyle="1" w:styleId="CommentSubjectChar">
    <w:name w:val="Comment Subject Char"/>
    <w:link w:val="CommentSubject"/>
    <w:rsid w:val="003D2C10"/>
    <w:rPr>
      <w:rFonts w:ascii="ClassGarmnd BT" w:hAnsi="ClassGarmnd BT"/>
      <w:b/>
      <w:bCs/>
      <w:lang w:val="en-GB" w:eastAsia="en-US"/>
    </w:rPr>
  </w:style>
  <w:style w:type="paragraph" w:styleId="BalloonText">
    <w:name w:val="Balloon Text"/>
    <w:basedOn w:val="Normal"/>
    <w:link w:val="BalloonTextChar"/>
    <w:rsid w:val="003D2C10"/>
    <w:rPr>
      <w:rFonts w:ascii="Tahoma" w:hAnsi="Tahoma" w:cs="Tahoma"/>
      <w:sz w:val="16"/>
      <w:szCs w:val="16"/>
    </w:rPr>
  </w:style>
  <w:style w:type="character" w:customStyle="1" w:styleId="BalloonTextChar">
    <w:name w:val="Balloon Text Char"/>
    <w:link w:val="BalloonText"/>
    <w:rsid w:val="003D2C10"/>
    <w:rPr>
      <w:rFonts w:ascii="Tahoma" w:hAnsi="Tahoma" w:cs="Tahoma"/>
      <w:sz w:val="16"/>
      <w:szCs w:val="16"/>
      <w:lang w:val="en-GB" w:eastAsia="en-US"/>
    </w:rPr>
  </w:style>
  <w:style w:type="paragraph" w:styleId="Revision">
    <w:name w:val="Revision"/>
    <w:hidden/>
    <w:uiPriority w:val="99"/>
    <w:semiHidden/>
    <w:rsid w:val="000449B1"/>
    <w:rPr>
      <w:rFonts w:ascii="ClassGarmnd BT" w:hAnsi="ClassGarmnd BT"/>
      <w:sz w:val="22"/>
      <w:lang w:val="en-GB" w:eastAsia="en-US"/>
    </w:rPr>
  </w:style>
  <w:style w:type="character" w:customStyle="1" w:styleId="FooterChar">
    <w:name w:val="Footer Char"/>
    <w:link w:val="Footer"/>
    <w:uiPriority w:val="99"/>
    <w:rsid w:val="007363DF"/>
    <w:rPr>
      <w:rFonts w:ascii="ClassGarmnd BT" w:hAnsi="ClassGarmnd BT"/>
      <w:sz w:val="16"/>
      <w:lang w:val="en-GB" w:eastAsia="en-US"/>
    </w:rPr>
  </w:style>
  <w:style w:type="character" w:customStyle="1" w:styleId="FootnoteTextChar">
    <w:name w:val="Footnote Text Char"/>
    <w:link w:val="FootnoteText"/>
    <w:rsid w:val="00AF4322"/>
    <w:rPr>
      <w:rFonts w:ascii="ClassGarmnd BT" w:hAnsi="ClassGarmnd BT"/>
      <w:sz w:val="22"/>
      <w:lang w:val="en-GB" w:eastAsia="en-US"/>
    </w:rPr>
  </w:style>
  <w:style w:type="character" w:customStyle="1" w:styleId="Heading1Char">
    <w:name w:val="Heading 1 Char"/>
    <w:link w:val="Heading1"/>
    <w:rsid w:val="006D57BB"/>
    <w:rPr>
      <w:rFonts w:ascii="Zurich Cn BT" w:hAnsi="Zurich Cn BT"/>
      <w:b/>
      <w:sz w:val="48"/>
      <w:lang w:val="en-GB" w:eastAsia="en-US"/>
    </w:rPr>
  </w:style>
  <w:style w:type="character" w:customStyle="1" w:styleId="Heading2Char">
    <w:name w:val="Heading 2 Char"/>
    <w:link w:val="Heading2"/>
    <w:rsid w:val="00EC393A"/>
    <w:rPr>
      <w:rFonts w:ascii="Zurich Cn BT" w:hAnsi="Zurich Cn BT"/>
      <w:b/>
      <w:sz w:val="32"/>
      <w:lang w:val="en-GB" w:eastAsia="en-US"/>
    </w:rPr>
  </w:style>
  <w:style w:type="character" w:customStyle="1" w:styleId="Heading4Char">
    <w:name w:val="Heading 4 Char"/>
    <w:aliases w:val="sd Char"/>
    <w:link w:val="Heading4"/>
    <w:rsid w:val="00EC393A"/>
    <w:rPr>
      <w:rFonts w:ascii="ClassGarmnd BT" w:hAnsi="ClassGarmnd BT"/>
      <w:b/>
      <w:sz w:val="22"/>
      <w:lang w:val="en-GB" w:eastAsia="en-US"/>
    </w:rPr>
  </w:style>
  <w:style w:type="paragraph" w:customStyle="1" w:styleId="Default">
    <w:name w:val="Default"/>
    <w:rsid w:val="001F3EDE"/>
    <w:pPr>
      <w:autoSpaceDE w:val="0"/>
      <w:autoSpaceDN w:val="0"/>
      <w:adjustRightInd w:val="0"/>
    </w:pPr>
    <w:rPr>
      <w:rFonts w:ascii="Garamond" w:hAnsi="Garamond" w:cs="Garamond"/>
      <w:color w:val="000000"/>
      <w:sz w:val="24"/>
      <w:szCs w:val="24"/>
    </w:rPr>
  </w:style>
  <w:style w:type="paragraph" w:customStyle="1" w:styleId="GNFooter">
    <w:name w:val="GN Footer"/>
    <w:basedOn w:val="Normal"/>
    <w:rsid w:val="009F3EDD"/>
    <w:pPr>
      <w:tabs>
        <w:tab w:val="center" w:pos="4536"/>
        <w:tab w:val="right" w:pos="9072"/>
      </w:tabs>
      <w:overflowPunct/>
      <w:autoSpaceDE/>
      <w:autoSpaceDN/>
      <w:adjustRightInd/>
      <w:ind w:left="0" w:firstLine="0"/>
      <w:jc w:val="left"/>
      <w:textAlignment w:val="auto"/>
    </w:pPr>
    <w:rPr>
      <w:rFonts w:ascii="Arial" w:hAnsi="Arial"/>
      <w:sz w:val="16"/>
      <w:szCs w:val="24"/>
      <w:lang w:val="en-US"/>
    </w:rPr>
  </w:style>
  <w:style w:type="character" w:styleId="PageNumber">
    <w:name w:val="page number"/>
    <w:rsid w:val="009F3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F88EB-F0AF-47FA-81FF-27EE48C1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4677</Words>
  <Characters>25179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ASX Listing Rules Appendix 1A - ASX Listing Application and Agreement</vt:lpstr>
    </vt:vector>
  </TitlesOfParts>
  <Company>ASX</Company>
  <LinksUpToDate>false</LinksUpToDate>
  <CharactersWithSpaces>29797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1A - ASX Listing Application and Agreement</dc:title>
  <dc:subject/>
  <dc:creator>Angel Magat</dc:creator>
  <cp:keywords/>
  <cp:lastModifiedBy>Kevin Lewis</cp:lastModifiedBy>
  <cp:revision>3</cp:revision>
  <cp:lastPrinted>2011-12-14T04:36:00Z</cp:lastPrinted>
  <dcterms:created xsi:type="dcterms:W3CDTF">2020-09-25T06:26:00Z</dcterms:created>
  <dcterms:modified xsi:type="dcterms:W3CDTF">2020-09-25T06:27:00Z</dcterms:modified>
</cp:coreProperties>
</file>