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BB" w:rsidRPr="00AF4322" w:rsidRDefault="006D57BB" w:rsidP="006D57BB">
      <w:pPr>
        <w:pStyle w:val="Heading1"/>
        <w:spacing w:after="240"/>
        <w:ind w:left="0" w:firstLine="0"/>
        <w:rPr>
          <w:rFonts w:ascii="Arial Narrow" w:hAnsi="Arial Narrow"/>
        </w:rPr>
      </w:pPr>
      <w:bookmarkStart w:id="0" w:name="_GoBack"/>
      <w:bookmarkEnd w:id="0"/>
      <w:r w:rsidRPr="00AF4322">
        <w:rPr>
          <w:rFonts w:ascii="Arial Narrow" w:hAnsi="Arial Narrow"/>
        </w:rPr>
        <w:t>Information Form and Checklist</w:t>
      </w:r>
      <w:r w:rsidR="003144CA">
        <w:rPr>
          <w:rFonts w:ascii="Arial Narrow" w:hAnsi="Arial Narrow"/>
        </w:rPr>
        <w:br/>
        <w:t xml:space="preserve">Annexure </w:t>
      </w:r>
      <w:r w:rsidR="00362E13">
        <w:rPr>
          <w:rFonts w:ascii="Arial Narrow" w:hAnsi="Arial Narrow"/>
        </w:rPr>
        <w:t>3</w:t>
      </w:r>
      <w:r>
        <w:rPr>
          <w:rFonts w:ascii="Arial Narrow" w:hAnsi="Arial Narrow"/>
        </w:rPr>
        <w:t xml:space="preserve"> (</w:t>
      </w:r>
      <w:r w:rsidR="003144CA">
        <w:rPr>
          <w:rFonts w:ascii="Arial Narrow" w:hAnsi="Arial Narrow"/>
        </w:rPr>
        <w:t>Foreign</w:t>
      </w:r>
      <w:r>
        <w:rPr>
          <w:rFonts w:ascii="Arial Narrow" w:hAnsi="Arial Narrow"/>
        </w:rPr>
        <w:t xml:space="preserve"> Entities)</w:t>
      </w:r>
    </w:p>
    <w:tbl>
      <w:tblPr>
        <w:tblW w:w="9072" w:type="dxa"/>
        <w:tblLayout w:type="fixed"/>
        <w:tblCellMar>
          <w:left w:w="0" w:type="dxa"/>
          <w:right w:w="0" w:type="dxa"/>
        </w:tblCellMar>
        <w:tblLook w:val="0000" w:firstRow="0" w:lastRow="0" w:firstColumn="0" w:lastColumn="0" w:noHBand="0" w:noVBand="0"/>
      </w:tblPr>
      <w:tblGrid>
        <w:gridCol w:w="5387"/>
        <w:gridCol w:w="142"/>
        <w:gridCol w:w="3543"/>
      </w:tblGrid>
      <w:tr w:rsidR="004B2CDC" w:rsidRPr="00AF4322" w:rsidTr="00753CBC">
        <w:tc>
          <w:tcPr>
            <w:tcW w:w="5387" w:type="dxa"/>
            <w:tcBorders>
              <w:top w:val="nil"/>
              <w:left w:val="nil"/>
              <w:bottom w:val="nil"/>
              <w:right w:val="nil"/>
            </w:tcBorders>
            <w:vAlign w:val="center"/>
          </w:tcPr>
          <w:p w:rsidR="004B2CDC" w:rsidRPr="00AF4322" w:rsidRDefault="004B2CDC" w:rsidP="00753CBC">
            <w:pPr>
              <w:pStyle w:val="Caption-BOX"/>
              <w:rPr>
                <w:rFonts w:ascii="Arial Narrow" w:hAnsi="Arial Narrow"/>
              </w:rPr>
            </w:pPr>
            <w:r w:rsidRPr="00AF4322">
              <w:rPr>
                <w:rFonts w:ascii="Arial Narrow" w:hAnsi="Arial Narrow"/>
              </w:rPr>
              <w:t>Name of entity</w:t>
            </w:r>
          </w:p>
        </w:tc>
        <w:tc>
          <w:tcPr>
            <w:tcW w:w="142" w:type="dxa"/>
            <w:tcBorders>
              <w:top w:val="nil"/>
              <w:left w:val="nil"/>
              <w:bottom w:val="nil"/>
              <w:right w:val="nil"/>
            </w:tcBorders>
            <w:vAlign w:val="center"/>
          </w:tcPr>
          <w:p w:rsidR="004B2CDC" w:rsidRPr="00AF4322" w:rsidRDefault="004B2CDC" w:rsidP="00753CBC">
            <w:pPr>
              <w:pStyle w:val="Caption-BOX"/>
              <w:rPr>
                <w:rFonts w:ascii="Arial Narrow" w:hAnsi="Arial Narrow"/>
              </w:rPr>
            </w:pPr>
          </w:p>
        </w:tc>
        <w:tc>
          <w:tcPr>
            <w:tcW w:w="3543" w:type="dxa"/>
            <w:tcBorders>
              <w:top w:val="nil"/>
              <w:left w:val="nil"/>
              <w:bottom w:val="nil"/>
              <w:right w:val="nil"/>
            </w:tcBorders>
            <w:vAlign w:val="center"/>
          </w:tcPr>
          <w:p w:rsidR="004B2CDC" w:rsidRPr="00AF4322" w:rsidRDefault="004B2CDC" w:rsidP="00753CBC">
            <w:pPr>
              <w:pStyle w:val="Caption-BOX"/>
              <w:rPr>
                <w:rFonts w:ascii="Arial Narrow" w:hAnsi="Arial Narrow"/>
              </w:rPr>
            </w:pPr>
            <w:r w:rsidRPr="00AF4322">
              <w:rPr>
                <w:rFonts w:ascii="Arial Narrow" w:hAnsi="Arial Narrow"/>
              </w:rPr>
              <w:t>ABN/</w:t>
            </w:r>
            <w:r w:rsidR="00CE37A7">
              <w:rPr>
                <w:rFonts w:ascii="Arial Narrow" w:hAnsi="Arial Narrow"/>
              </w:rPr>
              <w:t>ACN/</w:t>
            </w:r>
            <w:r w:rsidRPr="00AF4322">
              <w:rPr>
                <w:rFonts w:ascii="Arial Narrow" w:hAnsi="Arial Narrow"/>
              </w:rPr>
              <w:t>ARBN/ARSN</w:t>
            </w:r>
          </w:p>
        </w:tc>
      </w:tr>
      <w:tr w:rsidR="004B2CDC" w:rsidRPr="00AF4322" w:rsidTr="00753CBC">
        <w:trPr>
          <w:trHeight w:val="400"/>
        </w:trPr>
        <w:tc>
          <w:tcPr>
            <w:tcW w:w="5387" w:type="dxa"/>
            <w:tcBorders>
              <w:top w:val="single" w:sz="6" w:space="0" w:color="auto"/>
              <w:left w:val="single" w:sz="6" w:space="0" w:color="auto"/>
              <w:bottom w:val="single" w:sz="6" w:space="0" w:color="auto"/>
              <w:right w:val="single" w:sz="6" w:space="0" w:color="auto"/>
            </w:tcBorders>
            <w:vAlign w:val="center"/>
          </w:tcPr>
          <w:p w:rsidR="004B2CDC" w:rsidRPr="00AF4322" w:rsidRDefault="004B2CDC" w:rsidP="00753CBC">
            <w:pPr>
              <w:spacing w:before="120" w:after="120"/>
              <w:ind w:left="142" w:firstLine="0"/>
              <w:jc w:val="left"/>
              <w:rPr>
                <w:rFonts w:ascii="Arial Narrow" w:hAnsi="Arial Narrow"/>
                <w:b/>
              </w:rPr>
            </w:pPr>
          </w:p>
        </w:tc>
        <w:tc>
          <w:tcPr>
            <w:tcW w:w="142" w:type="dxa"/>
            <w:tcBorders>
              <w:top w:val="nil"/>
              <w:left w:val="nil"/>
              <w:bottom w:val="nil"/>
              <w:right w:val="nil"/>
            </w:tcBorders>
            <w:vAlign w:val="center"/>
          </w:tcPr>
          <w:p w:rsidR="004B2CDC" w:rsidRPr="00AF4322" w:rsidRDefault="004B2CDC" w:rsidP="00753CBC">
            <w:pPr>
              <w:spacing w:before="120" w:after="120"/>
              <w:ind w:left="0" w:firstLine="0"/>
              <w:jc w:val="left"/>
              <w:rPr>
                <w:rFonts w:ascii="Arial Narrow" w:hAnsi="Arial Narrow"/>
              </w:rPr>
            </w:pPr>
          </w:p>
        </w:tc>
        <w:tc>
          <w:tcPr>
            <w:tcW w:w="3543" w:type="dxa"/>
            <w:tcBorders>
              <w:top w:val="single" w:sz="6" w:space="0" w:color="auto"/>
              <w:left w:val="single" w:sz="6" w:space="0" w:color="auto"/>
              <w:bottom w:val="single" w:sz="6" w:space="0" w:color="auto"/>
              <w:right w:val="single" w:sz="6" w:space="0" w:color="auto"/>
            </w:tcBorders>
            <w:vAlign w:val="center"/>
          </w:tcPr>
          <w:p w:rsidR="004B2CDC" w:rsidRPr="00AF4322" w:rsidRDefault="004B2CDC" w:rsidP="00753CBC">
            <w:pPr>
              <w:spacing w:before="120" w:after="120"/>
              <w:ind w:left="141" w:firstLine="0"/>
              <w:jc w:val="left"/>
              <w:rPr>
                <w:rFonts w:ascii="Arial Narrow" w:hAnsi="Arial Narrow"/>
                <w:b/>
              </w:rPr>
            </w:pPr>
          </w:p>
        </w:tc>
      </w:tr>
    </w:tbl>
    <w:p w:rsidR="00E1073E" w:rsidRDefault="00E1073E" w:rsidP="006651DE">
      <w:pPr>
        <w:spacing w:before="240" w:after="240"/>
        <w:ind w:left="0" w:firstLine="0"/>
        <w:jc w:val="left"/>
        <w:rPr>
          <w:rFonts w:ascii="Arial Narrow" w:hAnsi="Arial Narrow"/>
          <w:b/>
        </w:rPr>
      </w:pPr>
      <w:r>
        <w:rPr>
          <w:rFonts w:ascii="Arial Narrow" w:hAnsi="Arial Narrow"/>
          <w:b/>
        </w:rPr>
        <w:t>This Annexure forms part of the Information Form and Checklist supplied by the entity named above to support its application for admission to the official list of ASX Limited (ASX) as an ASX Listing.</w:t>
      </w:r>
    </w:p>
    <w:tbl>
      <w:tblPr>
        <w:tblW w:w="9071" w:type="dxa"/>
        <w:tblLayout w:type="fixed"/>
        <w:tblCellMar>
          <w:left w:w="0" w:type="dxa"/>
          <w:right w:w="0" w:type="dxa"/>
        </w:tblCellMar>
        <w:tblLook w:val="0000" w:firstRow="0" w:lastRow="0" w:firstColumn="0" w:lastColumn="0" w:noHBand="0" w:noVBand="0"/>
      </w:tblPr>
      <w:tblGrid>
        <w:gridCol w:w="283"/>
        <w:gridCol w:w="5670"/>
        <w:gridCol w:w="3118"/>
      </w:tblGrid>
      <w:tr w:rsidR="003144CA" w:rsidRPr="00BE7317" w:rsidTr="00C429C8">
        <w:trPr>
          <w:cantSplit/>
          <w:tblHeader/>
        </w:trPr>
        <w:tc>
          <w:tcPr>
            <w:tcW w:w="283" w:type="dxa"/>
            <w:tcBorders>
              <w:top w:val="nil"/>
              <w:left w:val="nil"/>
              <w:bottom w:val="nil"/>
              <w:right w:val="nil"/>
            </w:tcBorders>
            <w:vAlign w:val="bottom"/>
          </w:tcPr>
          <w:p w:rsidR="003144CA" w:rsidRPr="00BE7317" w:rsidRDefault="003144CA" w:rsidP="003D09C9">
            <w:pPr>
              <w:tabs>
                <w:tab w:val="left" w:pos="150"/>
              </w:tabs>
              <w:ind w:left="397" w:hanging="397"/>
              <w:jc w:val="left"/>
              <w:rPr>
                <w:rFonts w:ascii="Arial Narrow" w:hAnsi="Arial Narrow"/>
                <w:sz w:val="20"/>
              </w:rPr>
            </w:pPr>
            <w:r w:rsidRPr="00BE7317">
              <w:rPr>
                <w:rFonts w:ascii="Arial Narrow" w:hAnsi="Arial Narrow"/>
                <w:sz w:val="20"/>
              </w:rPr>
              <w:t>N</w:t>
            </w:r>
            <w:r w:rsidRPr="00BE7317">
              <w:rPr>
                <w:rFonts w:ascii="Arial Narrow" w:hAnsi="Arial Narrow"/>
                <w:sz w:val="20"/>
                <w:vertAlign w:val="superscript"/>
              </w:rPr>
              <w:t>o</w:t>
            </w:r>
          </w:p>
        </w:tc>
        <w:tc>
          <w:tcPr>
            <w:tcW w:w="5670" w:type="dxa"/>
            <w:tcBorders>
              <w:top w:val="nil"/>
              <w:left w:val="nil"/>
              <w:bottom w:val="nil"/>
              <w:right w:val="nil"/>
            </w:tcBorders>
            <w:tcMar>
              <w:right w:w="85" w:type="dxa"/>
            </w:tcMar>
            <w:vAlign w:val="bottom"/>
          </w:tcPr>
          <w:p w:rsidR="003144CA" w:rsidRPr="00BE7317" w:rsidRDefault="003144CA" w:rsidP="003D09C9">
            <w:pPr>
              <w:ind w:left="0" w:firstLine="0"/>
              <w:jc w:val="left"/>
              <w:rPr>
                <w:rFonts w:ascii="Arial Narrow" w:hAnsi="Arial Narrow"/>
                <w:sz w:val="20"/>
              </w:rPr>
            </w:pPr>
            <w:r w:rsidRPr="00BE7317">
              <w:rPr>
                <w:rFonts w:ascii="Arial Narrow" w:hAnsi="Arial Narrow"/>
                <w:sz w:val="20"/>
              </w:rPr>
              <w:t>Item</w:t>
            </w:r>
          </w:p>
        </w:tc>
        <w:tc>
          <w:tcPr>
            <w:tcW w:w="3118" w:type="dxa"/>
            <w:tcBorders>
              <w:top w:val="nil"/>
              <w:left w:val="nil"/>
              <w:bottom w:val="nil"/>
              <w:right w:val="nil"/>
            </w:tcBorders>
            <w:tcMar>
              <w:left w:w="0" w:type="dxa"/>
              <w:right w:w="0" w:type="dxa"/>
            </w:tcMar>
            <w:vAlign w:val="bottom"/>
          </w:tcPr>
          <w:p w:rsidR="003144CA" w:rsidRPr="00BE7317" w:rsidRDefault="003144CA" w:rsidP="003D09C9">
            <w:pPr>
              <w:ind w:left="0" w:firstLine="0"/>
              <w:jc w:val="left"/>
              <w:rPr>
                <w:rFonts w:ascii="Arial Narrow" w:hAnsi="Arial Narrow"/>
                <w:sz w:val="20"/>
              </w:rPr>
            </w:pPr>
            <w:r w:rsidRPr="00BE7317">
              <w:rPr>
                <w:rFonts w:ascii="Arial Narrow" w:hAnsi="Arial Narrow"/>
                <w:sz w:val="20"/>
              </w:rPr>
              <w:t>Location</w:t>
            </w:r>
          </w:p>
        </w:tc>
      </w:tr>
      <w:tr w:rsidR="0075267F" w:rsidRPr="00AF4322" w:rsidTr="00C429C8">
        <w:trPr>
          <w:cantSplit/>
        </w:trPr>
        <w:tc>
          <w:tcPr>
            <w:tcW w:w="283" w:type="dxa"/>
            <w:tcBorders>
              <w:top w:val="nil"/>
              <w:left w:val="nil"/>
              <w:bottom w:val="nil"/>
              <w:right w:val="nil"/>
            </w:tcBorders>
          </w:tcPr>
          <w:p w:rsidR="0075267F" w:rsidRPr="00AF4322" w:rsidRDefault="0075267F" w:rsidP="003D09C9">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75267F" w:rsidRPr="00AF4322" w:rsidRDefault="0075267F" w:rsidP="00602EDA">
            <w:pPr>
              <w:pStyle w:val="boxstyle"/>
              <w:jc w:val="left"/>
              <w:rPr>
                <w:rFonts w:ascii="Arial Narrow" w:hAnsi="Arial Narrow"/>
              </w:rPr>
            </w:pPr>
            <w:r w:rsidRPr="0008551E">
              <w:rPr>
                <w:rFonts w:ascii="Arial Narrow" w:hAnsi="Arial Narrow"/>
              </w:rPr>
              <w:t>Evidence that the entity is registered as a foreign company in Australia</w:t>
            </w:r>
            <w:r>
              <w:rPr>
                <w:rFonts w:ascii="Arial Narrow" w:hAnsi="Arial Narrow"/>
              </w:rPr>
              <w:t xml:space="preserve"> (Listing Rule 1.1 Condition 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5267F" w:rsidRPr="00AF4322" w:rsidRDefault="0075267F" w:rsidP="003D09C9">
            <w:pPr>
              <w:pStyle w:val="boxstyle"/>
              <w:jc w:val="left"/>
              <w:rPr>
                <w:rFonts w:ascii="Arial Narrow" w:hAnsi="Arial Narrow"/>
              </w:rPr>
            </w:pPr>
          </w:p>
        </w:tc>
      </w:tr>
      <w:tr w:rsidR="0075267F" w:rsidRPr="00AF4322" w:rsidTr="00C429C8">
        <w:trPr>
          <w:cantSplit/>
        </w:trPr>
        <w:tc>
          <w:tcPr>
            <w:tcW w:w="283" w:type="dxa"/>
            <w:tcBorders>
              <w:top w:val="nil"/>
              <w:left w:val="nil"/>
              <w:bottom w:val="nil"/>
              <w:right w:val="nil"/>
            </w:tcBorders>
          </w:tcPr>
          <w:p w:rsidR="0075267F" w:rsidRPr="00AF4322" w:rsidRDefault="0075267F" w:rsidP="003D09C9">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5267F" w:rsidRPr="00AF4322" w:rsidRDefault="0075267F" w:rsidP="003D09C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75267F" w:rsidRPr="00AF4322" w:rsidRDefault="0075267F" w:rsidP="003D09C9">
            <w:pPr>
              <w:ind w:left="0" w:firstLine="0"/>
              <w:jc w:val="left"/>
              <w:rPr>
                <w:rFonts w:ascii="Arial Narrow" w:hAnsi="Arial Narrow"/>
                <w:sz w:val="20"/>
              </w:rPr>
            </w:pPr>
          </w:p>
        </w:tc>
      </w:tr>
      <w:tr w:rsidR="003144CA" w:rsidRPr="00AF4322" w:rsidTr="00C429C8">
        <w:trPr>
          <w:cantSplit/>
        </w:trPr>
        <w:tc>
          <w:tcPr>
            <w:tcW w:w="283" w:type="dxa"/>
            <w:tcBorders>
              <w:top w:val="nil"/>
              <w:left w:val="nil"/>
              <w:bottom w:val="nil"/>
              <w:right w:val="nil"/>
            </w:tcBorders>
          </w:tcPr>
          <w:p w:rsidR="003144CA" w:rsidRPr="00AF4322" w:rsidRDefault="003144CA" w:rsidP="003D09C9">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3144CA" w:rsidRPr="00AF4322" w:rsidRDefault="003144CA" w:rsidP="00162BCE">
            <w:pPr>
              <w:pStyle w:val="boxstyle"/>
              <w:jc w:val="left"/>
              <w:rPr>
                <w:rFonts w:ascii="Arial Narrow" w:hAnsi="Arial Narrow"/>
              </w:rPr>
            </w:pPr>
            <w:r>
              <w:rPr>
                <w:rFonts w:ascii="Arial Narrow" w:hAnsi="Arial Narrow"/>
              </w:rPr>
              <w:t>Where in the Offer Document does it state</w:t>
            </w:r>
            <w:r w:rsidRPr="0008551E">
              <w:rPr>
                <w:rFonts w:ascii="Arial Narrow" w:hAnsi="Arial Narrow"/>
              </w:rPr>
              <w:t xml:space="preserve"> </w:t>
            </w:r>
            <w:r>
              <w:rPr>
                <w:rFonts w:ascii="Arial Narrow" w:hAnsi="Arial Narrow"/>
              </w:rPr>
              <w:t>the entity’s</w:t>
            </w:r>
            <w:r w:rsidRPr="0008551E">
              <w:rPr>
                <w:rFonts w:ascii="Arial Narrow" w:hAnsi="Arial Narrow"/>
              </w:rPr>
              <w:t xml:space="preserve"> place of incorporation</w:t>
            </w:r>
            <w:r w:rsidR="00162BCE">
              <w:rPr>
                <w:rFonts w:ascii="Arial Narrow" w:hAnsi="Arial Narrow"/>
              </w:rPr>
              <w:t>,</w:t>
            </w:r>
            <w:r w:rsidRPr="0008551E">
              <w:rPr>
                <w:rFonts w:ascii="Arial Narrow" w:hAnsi="Arial Narrow"/>
              </w:rPr>
              <w:t xml:space="preserve"> registration </w:t>
            </w:r>
            <w:r w:rsidR="00162BCE">
              <w:rPr>
                <w:rFonts w:ascii="Arial Narrow" w:hAnsi="Arial Narrow"/>
              </w:rPr>
              <w:t xml:space="preserve">or establishment </w:t>
            </w:r>
            <w:r w:rsidRPr="005405AA">
              <w:rPr>
                <w:rFonts w:ascii="Arial Narrow" w:hAnsi="Arial Narrow"/>
              </w:rPr>
              <w:t>(Guidance Note </w:t>
            </w:r>
            <w:r>
              <w:rPr>
                <w:rFonts w:ascii="Arial Narrow" w:hAnsi="Arial Narrow"/>
              </w:rPr>
              <w:t>4</w:t>
            </w:r>
            <w:r w:rsidRPr="005405AA">
              <w:rPr>
                <w:rFonts w:ascii="Arial Narrow" w:hAnsi="Arial Narrow"/>
              </w:rPr>
              <w:t xml:space="preserve"> section </w:t>
            </w:r>
            <w:r>
              <w:rPr>
                <w:rFonts w:ascii="Arial Narrow" w:hAnsi="Arial Narrow"/>
              </w:rPr>
              <w:t>3.2</w:t>
            </w:r>
            <w:r w:rsidRPr="005405AA">
              <w:rPr>
                <w:rFonts w:ascii="Arial Narrow" w:hAnsi="Arial Narrow"/>
              </w:rPr>
              <w:t>)</w:t>
            </w:r>
            <w:r>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144CA" w:rsidRPr="00AF4322" w:rsidRDefault="003144CA" w:rsidP="003D09C9">
            <w:pPr>
              <w:pStyle w:val="boxstyle"/>
              <w:jc w:val="left"/>
              <w:rPr>
                <w:rFonts w:ascii="Arial Narrow" w:hAnsi="Arial Narrow"/>
              </w:rPr>
            </w:pPr>
          </w:p>
        </w:tc>
      </w:tr>
      <w:tr w:rsidR="003144CA" w:rsidRPr="00AF4322" w:rsidTr="00C429C8">
        <w:trPr>
          <w:cantSplit/>
        </w:trPr>
        <w:tc>
          <w:tcPr>
            <w:tcW w:w="283" w:type="dxa"/>
            <w:tcBorders>
              <w:top w:val="nil"/>
              <w:left w:val="nil"/>
              <w:bottom w:val="nil"/>
              <w:right w:val="nil"/>
            </w:tcBorders>
          </w:tcPr>
          <w:p w:rsidR="003144CA" w:rsidRPr="00AF4322" w:rsidRDefault="003144CA" w:rsidP="003D09C9">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3144CA" w:rsidRPr="00AF4322" w:rsidRDefault="003144CA" w:rsidP="003D09C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3144CA" w:rsidRPr="00AF4322" w:rsidRDefault="003144CA" w:rsidP="003D09C9">
            <w:pPr>
              <w:ind w:left="0" w:firstLine="0"/>
              <w:jc w:val="left"/>
              <w:rPr>
                <w:rFonts w:ascii="Arial Narrow" w:hAnsi="Arial Narrow"/>
                <w:sz w:val="20"/>
              </w:rPr>
            </w:pPr>
          </w:p>
        </w:tc>
      </w:tr>
      <w:tr w:rsidR="003144CA" w:rsidRPr="00AF4322" w:rsidTr="00C429C8">
        <w:trPr>
          <w:cantSplit/>
        </w:trPr>
        <w:tc>
          <w:tcPr>
            <w:tcW w:w="283" w:type="dxa"/>
            <w:tcBorders>
              <w:top w:val="nil"/>
              <w:left w:val="nil"/>
              <w:bottom w:val="nil"/>
              <w:right w:val="nil"/>
            </w:tcBorders>
          </w:tcPr>
          <w:p w:rsidR="003144CA" w:rsidRPr="00AF4322" w:rsidRDefault="003144CA" w:rsidP="003D09C9">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3144CA" w:rsidRPr="0008551E" w:rsidRDefault="003144CA" w:rsidP="003144CA">
            <w:pPr>
              <w:pStyle w:val="boxstyle"/>
              <w:spacing w:after="60"/>
              <w:jc w:val="left"/>
              <w:rPr>
                <w:rFonts w:ascii="Arial Narrow" w:hAnsi="Arial Narrow"/>
              </w:rPr>
            </w:pPr>
            <w:r>
              <w:rPr>
                <w:rFonts w:ascii="Arial Narrow" w:hAnsi="Arial Narrow"/>
              </w:rPr>
              <w:t>Where in the Offer Document does it include</w:t>
            </w:r>
            <w:r w:rsidRPr="0008551E">
              <w:rPr>
                <w:rFonts w:ascii="Arial Narrow" w:hAnsi="Arial Narrow"/>
              </w:rPr>
              <w:t xml:space="preserve"> a statement to the effect that:</w:t>
            </w:r>
          </w:p>
          <w:p w:rsidR="003144CA" w:rsidRPr="00AF4322" w:rsidRDefault="003144CA" w:rsidP="00602EDA">
            <w:pPr>
              <w:pStyle w:val="boxstyle"/>
              <w:jc w:val="left"/>
              <w:rPr>
                <w:rFonts w:ascii="Arial Narrow" w:hAnsi="Arial Narrow"/>
              </w:rPr>
            </w:pPr>
            <w:r w:rsidRPr="0008551E">
              <w:rPr>
                <w:rFonts w:ascii="Arial Narrow" w:hAnsi="Arial Narrow"/>
              </w:rPr>
              <w:t>“As [</w:t>
            </w:r>
            <w:r w:rsidRPr="0008551E">
              <w:rPr>
                <w:rFonts w:ascii="Arial Narrow" w:hAnsi="Arial Narrow"/>
                <w:i/>
              </w:rPr>
              <w:t>name of entity</w:t>
            </w:r>
            <w:r w:rsidRPr="0008551E">
              <w:rPr>
                <w:rFonts w:ascii="Arial Narrow" w:hAnsi="Arial Narrow"/>
              </w:rPr>
              <w:t>]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w:t>
            </w:r>
            <w:r w:rsidRPr="0008551E">
              <w:rPr>
                <w:rFonts w:ascii="Arial Narrow" w:hAnsi="Arial Narrow"/>
                <w:i/>
              </w:rPr>
              <w:t>insert name of governing legislation</w:t>
            </w:r>
            <w:r w:rsidRPr="0008551E">
              <w:rPr>
                <w:rFonts w:ascii="Arial Narrow" w:hAnsi="Arial Narrow"/>
              </w:rPr>
              <w:t>] and [</w:t>
            </w:r>
            <w:r w:rsidRPr="0008551E">
              <w:rPr>
                <w:rFonts w:ascii="Arial Narrow" w:hAnsi="Arial Narrow"/>
                <w:i/>
              </w:rPr>
              <w:t>insert name of corporate regulator administering that legislation</w:t>
            </w:r>
            <w:r w:rsidRPr="0008551E">
              <w:rPr>
                <w:rFonts w:ascii="Arial Narrow" w:hAnsi="Arial Narrow"/>
              </w:rPr>
              <w:t>].”</w:t>
            </w:r>
            <w:r w:rsidRPr="005405AA">
              <w:rPr>
                <w:rFonts w:ascii="Arial Narrow" w:hAnsi="Arial Narrow"/>
              </w:rPr>
              <w:t xml:space="preserve"> (Guidance Note </w:t>
            </w:r>
            <w:r>
              <w:rPr>
                <w:rFonts w:ascii="Arial Narrow" w:hAnsi="Arial Narrow"/>
              </w:rPr>
              <w:t>4</w:t>
            </w:r>
            <w:r w:rsidRPr="005405AA">
              <w:rPr>
                <w:rFonts w:ascii="Arial Narrow" w:hAnsi="Arial Narrow"/>
              </w:rPr>
              <w:t xml:space="preserve"> section </w:t>
            </w:r>
            <w:r>
              <w:rPr>
                <w:rFonts w:ascii="Arial Narrow" w:hAnsi="Arial Narrow"/>
              </w:rPr>
              <w:t>3.2</w:t>
            </w:r>
            <w:r w:rsidRPr="005405AA">
              <w:rPr>
                <w:rFonts w:ascii="Arial Narrow" w:hAnsi="Arial Narrow"/>
              </w:rPr>
              <w:t>)</w:t>
            </w:r>
            <w:r>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144CA" w:rsidRPr="00AF4322" w:rsidRDefault="003144CA" w:rsidP="003D09C9">
            <w:pPr>
              <w:pStyle w:val="boxstyle"/>
              <w:jc w:val="left"/>
              <w:rPr>
                <w:rFonts w:ascii="Arial Narrow" w:hAnsi="Arial Narrow"/>
              </w:rPr>
            </w:pPr>
          </w:p>
        </w:tc>
      </w:tr>
      <w:tr w:rsidR="003144CA" w:rsidRPr="00AF4322" w:rsidTr="00C429C8">
        <w:trPr>
          <w:cantSplit/>
        </w:trPr>
        <w:tc>
          <w:tcPr>
            <w:tcW w:w="283" w:type="dxa"/>
            <w:tcBorders>
              <w:top w:val="nil"/>
              <w:left w:val="nil"/>
              <w:bottom w:val="nil"/>
              <w:right w:val="nil"/>
            </w:tcBorders>
          </w:tcPr>
          <w:p w:rsidR="003144CA" w:rsidRPr="00AF4322" w:rsidRDefault="003144CA" w:rsidP="003D09C9">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3144CA" w:rsidRPr="00AF4322" w:rsidRDefault="003144CA" w:rsidP="003D09C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3144CA" w:rsidRPr="00AF4322" w:rsidRDefault="003144CA" w:rsidP="003D09C9">
            <w:pPr>
              <w:ind w:left="0" w:firstLine="0"/>
              <w:jc w:val="left"/>
              <w:rPr>
                <w:rFonts w:ascii="Arial Narrow" w:hAnsi="Arial Narrow"/>
                <w:sz w:val="20"/>
              </w:rPr>
            </w:pPr>
          </w:p>
        </w:tc>
      </w:tr>
      <w:tr w:rsidR="003144CA" w:rsidRPr="00AF4322" w:rsidTr="00C429C8">
        <w:trPr>
          <w:cantSplit/>
        </w:trPr>
        <w:tc>
          <w:tcPr>
            <w:tcW w:w="283" w:type="dxa"/>
            <w:tcBorders>
              <w:top w:val="nil"/>
              <w:left w:val="nil"/>
              <w:bottom w:val="nil"/>
              <w:right w:val="nil"/>
            </w:tcBorders>
          </w:tcPr>
          <w:p w:rsidR="003144CA" w:rsidRPr="00AF4322" w:rsidRDefault="003144CA" w:rsidP="003D09C9">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75267F" w:rsidRPr="0075267F" w:rsidRDefault="0075267F" w:rsidP="0075267F">
            <w:pPr>
              <w:ind w:left="0" w:firstLine="0"/>
              <w:textAlignment w:val="auto"/>
              <w:rPr>
                <w:rFonts w:ascii="Arial Narrow" w:hAnsi="Arial Narrow"/>
                <w:sz w:val="20"/>
                <w:lang w:val="en-AU"/>
              </w:rPr>
            </w:pPr>
            <w:r w:rsidRPr="0075267F">
              <w:rPr>
                <w:rFonts w:ascii="Arial Narrow" w:hAnsi="Arial Narrow"/>
                <w:sz w:val="20"/>
                <w:lang w:val="en-AU"/>
              </w:rPr>
              <w:t>Where in the Offer Document does it include a concise summary of the rights and obligations of security holders under the law of its home jurisdiction covering:</w:t>
            </w:r>
          </w:p>
          <w:p w:rsidR="0075267F" w:rsidRPr="0008551E" w:rsidRDefault="0075267F" w:rsidP="0075267F">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what types of transactions require security holder approval;</w:t>
            </w:r>
          </w:p>
          <w:p w:rsidR="0075267F" w:rsidRPr="0008551E" w:rsidRDefault="0075267F" w:rsidP="0075267F">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whether security holders have a right to request or requisition a meeting of security holders;</w:t>
            </w:r>
          </w:p>
          <w:p w:rsidR="0075267F" w:rsidRPr="0008551E" w:rsidRDefault="0075267F" w:rsidP="0075267F">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whether security holders have a right to appoint proxies to attend and vote at meetings on their behalf;</w:t>
            </w:r>
          </w:p>
          <w:p w:rsidR="0075267F" w:rsidRPr="0008551E" w:rsidRDefault="0075267F" w:rsidP="0075267F">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how changes in the rights attaching to securities are regulated;</w:t>
            </w:r>
          </w:p>
          <w:p w:rsidR="0075267F" w:rsidRPr="0008551E" w:rsidRDefault="0075267F" w:rsidP="0075267F">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what rights do security holders have to seek relief for oppressive conduct;</w:t>
            </w:r>
          </w:p>
          <w:p w:rsidR="0075267F" w:rsidRPr="0008551E" w:rsidRDefault="0075267F" w:rsidP="0075267F">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 xml:space="preserve">what rights do security holders have to bring or intervene in legal proceedings on behalf of </w:t>
            </w:r>
            <w:r>
              <w:rPr>
                <w:rFonts w:ascii="Arial Narrow" w:hAnsi="Arial Narrow"/>
                <w:sz w:val="20"/>
                <w:lang w:val="en-AU"/>
              </w:rPr>
              <w:t>the entity</w:t>
            </w:r>
            <w:r w:rsidRPr="0008551E">
              <w:rPr>
                <w:rFonts w:ascii="Arial Narrow" w:hAnsi="Arial Narrow"/>
                <w:sz w:val="20"/>
                <w:lang w:val="en-AU"/>
              </w:rPr>
              <w:t>; and</w:t>
            </w:r>
          </w:p>
          <w:p w:rsidR="003144CA" w:rsidRPr="0075267F" w:rsidRDefault="0075267F" w:rsidP="00602EDA">
            <w:pPr>
              <w:numPr>
                <w:ilvl w:val="0"/>
                <w:numId w:val="20"/>
              </w:numPr>
              <w:ind w:left="284" w:hanging="284"/>
              <w:textAlignment w:val="auto"/>
              <w:rPr>
                <w:rFonts w:ascii="Arial Narrow" w:hAnsi="Arial Narrow"/>
                <w:sz w:val="20"/>
                <w:lang w:val="en-AU"/>
              </w:rPr>
            </w:pPr>
            <w:r w:rsidRPr="0008551E">
              <w:rPr>
                <w:rFonts w:ascii="Arial Narrow" w:hAnsi="Arial Narrow"/>
                <w:sz w:val="20"/>
                <w:lang w:val="en-AU"/>
              </w:rPr>
              <w:t>whether there is any equivalent to the “two strikes” rule in relation to remuneration reports in Part 2G.2 Division 9 of the Corporations Act</w:t>
            </w:r>
            <w:r>
              <w:rPr>
                <w:rFonts w:ascii="Arial Narrow" w:hAnsi="Arial Narrow"/>
                <w:sz w:val="20"/>
                <w:lang w:val="en-AU"/>
              </w:rPr>
              <w:t xml:space="preserve"> </w:t>
            </w:r>
            <w:r w:rsidRPr="0075267F">
              <w:rPr>
                <w:rFonts w:ascii="Arial Narrow" w:hAnsi="Arial Narrow"/>
                <w:sz w:val="20"/>
                <w:lang w:val="en-AU"/>
              </w:rPr>
              <w:t>(Guidance Note 4 section 3.2)</w:t>
            </w:r>
            <w:r>
              <w:rPr>
                <w:rFonts w:ascii="Arial Narrow" w:hAnsi="Arial Narrow"/>
                <w:sz w:val="20"/>
                <w:lang w:val="en-AU"/>
              </w:rPr>
              <w:t>?</w:t>
            </w:r>
            <w:bookmarkStart w:id="1" w:name="_Ref349320091"/>
            <w:r w:rsidRPr="00DA6F94">
              <w:rPr>
                <w:rStyle w:val="FootnoteReference"/>
                <w:rFonts w:ascii="Arial Narrow" w:hAnsi="Arial Narrow"/>
                <w:color w:val="000000"/>
                <w:position w:val="0"/>
                <w:sz w:val="20"/>
                <w:vertAlign w:val="superscript"/>
                <w:lang w:val="en-AU"/>
              </w:rPr>
              <w:footnoteReference w:id="1"/>
            </w:r>
            <w:bookmarkEnd w:id="1"/>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144CA" w:rsidRPr="00AF4322" w:rsidRDefault="003144CA" w:rsidP="003D09C9">
            <w:pPr>
              <w:pStyle w:val="boxstyle"/>
              <w:jc w:val="left"/>
              <w:rPr>
                <w:rFonts w:ascii="Arial Narrow" w:hAnsi="Arial Narrow"/>
              </w:rPr>
            </w:pPr>
          </w:p>
        </w:tc>
      </w:tr>
      <w:tr w:rsidR="00F11394" w:rsidRPr="00AF4322" w:rsidTr="00C429C8">
        <w:trPr>
          <w:cantSplit/>
        </w:trPr>
        <w:tc>
          <w:tcPr>
            <w:tcW w:w="283" w:type="dxa"/>
            <w:tcBorders>
              <w:top w:val="nil"/>
              <w:left w:val="nil"/>
              <w:bottom w:val="nil"/>
              <w:right w:val="nil"/>
            </w:tcBorders>
          </w:tcPr>
          <w:p w:rsidR="00F11394" w:rsidRPr="00AF4322" w:rsidRDefault="00F11394" w:rsidP="002A6DFA">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F11394" w:rsidRPr="00AF4322" w:rsidRDefault="00F11394" w:rsidP="002A6DFA">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F11394" w:rsidRPr="00AF4322" w:rsidRDefault="00F11394" w:rsidP="002A6DFA">
            <w:pPr>
              <w:ind w:left="0" w:firstLine="0"/>
              <w:jc w:val="left"/>
              <w:rPr>
                <w:rFonts w:ascii="Arial Narrow" w:hAnsi="Arial Narrow"/>
                <w:sz w:val="20"/>
              </w:rPr>
            </w:pPr>
          </w:p>
        </w:tc>
      </w:tr>
      <w:tr w:rsidR="009648CD" w:rsidRPr="00AF4322" w:rsidTr="00A06971">
        <w:trPr>
          <w:cantSplit/>
        </w:trPr>
        <w:tc>
          <w:tcPr>
            <w:tcW w:w="283" w:type="dxa"/>
            <w:tcBorders>
              <w:top w:val="nil"/>
              <w:left w:val="nil"/>
              <w:bottom w:val="nil"/>
              <w:right w:val="nil"/>
            </w:tcBorders>
          </w:tcPr>
          <w:p w:rsidR="009648CD" w:rsidRPr="00AF4322" w:rsidRDefault="009648CD" w:rsidP="00A06971">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9648CD" w:rsidRPr="00AF4322" w:rsidRDefault="009648CD" w:rsidP="00A06971">
            <w:pPr>
              <w:pStyle w:val="boxstyle"/>
              <w:jc w:val="left"/>
              <w:rPr>
                <w:rFonts w:ascii="Arial Narrow" w:hAnsi="Arial Narrow"/>
              </w:rPr>
            </w:pPr>
            <w:r w:rsidRPr="0075267F">
              <w:rPr>
                <w:rFonts w:ascii="Arial Narrow" w:hAnsi="Arial Narrow"/>
              </w:rPr>
              <w:t xml:space="preserve">Where in the Offer Document does it include a </w:t>
            </w:r>
            <w:r w:rsidRPr="0008551E">
              <w:rPr>
                <w:rFonts w:ascii="Arial Narrow" w:hAnsi="Arial Narrow"/>
              </w:rPr>
              <w:t>concise summary of how the disclosure of substantial holdings and takeovers are regulated under the law of its home jurisdiction</w:t>
            </w:r>
            <w:r>
              <w:rPr>
                <w:rFonts w:ascii="Arial Narrow" w:hAnsi="Arial Narrow"/>
              </w:rPr>
              <w:t xml:space="preserve"> </w:t>
            </w:r>
            <w:r w:rsidRPr="0075267F">
              <w:rPr>
                <w:rFonts w:ascii="Arial Narrow" w:hAnsi="Arial Narrow"/>
              </w:rPr>
              <w:t>(Guidance Note 4 section 3.2)</w:t>
            </w:r>
            <w:r>
              <w:rPr>
                <w:rFonts w:ascii="Arial Narrow" w:hAnsi="Arial Narrow"/>
              </w:rPr>
              <w:t>?</w:t>
            </w:r>
            <w:r w:rsidRPr="00DA6F94">
              <w:rPr>
                <w:rStyle w:val="FootnoteReference"/>
                <w:rFonts w:ascii="Arial Narrow" w:hAnsi="Arial Narrow"/>
                <w:position w:val="0"/>
                <w:sz w:val="20"/>
                <w:vertAlign w:val="superscript"/>
              </w:rPr>
              <w:footnoteReference w:id="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9648CD" w:rsidRPr="00AF4322" w:rsidRDefault="009648CD" w:rsidP="00A06971">
            <w:pPr>
              <w:pStyle w:val="boxstyle"/>
              <w:jc w:val="left"/>
              <w:rPr>
                <w:rFonts w:ascii="Arial Narrow" w:hAnsi="Arial Narrow"/>
              </w:rPr>
            </w:pPr>
          </w:p>
        </w:tc>
      </w:tr>
      <w:tr w:rsidR="009648CD" w:rsidRPr="00AF4322" w:rsidTr="00A06971">
        <w:trPr>
          <w:cantSplit/>
        </w:trPr>
        <w:tc>
          <w:tcPr>
            <w:tcW w:w="283" w:type="dxa"/>
            <w:tcBorders>
              <w:top w:val="nil"/>
              <w:left w:val="nil"/>
              <w:bottom w:val="nil"/>
              <w:right w:val="nil"/>
            </w:tcBorders>
          </w:tcPr>
          <w:p w:rsidR="009648CD" w:rsidRPr="00AF4322" w:rsidRDefault="009648CD" w:rsidP="00A0697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9648CD" w:rsidRPr="00AF4322" w:rsidRDefault="009648CD" w:rsidP="00A0697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9648CD" w:rsidRPr="00AF4322" w:rsidRDefault="009648CD" w:rsidP="00A06971">
            <w:pPr>
              <w:ind w:left="0" w:firstLine="0"/>
              <w:jc w:val="left"/>
              <w:rPr>
                <w:rFonts w:ascii="Arial Narrow" w:hAnsi="Arial Narrow"/>
                <w:sz w:val="20"/>
              </w:rPr>
            </w:pPr>
          </w:p>
        </w:tc>
      </w:tr>
      <w:tr w:rsidR="00F11394" w:rsidRPr="00AF4322" w:rsidTr="00C429C8">
        <w:trPr>
          <w:cantSplit/>
        </w:trPr>
        <w:tc>
          <w:tcPr>
            <w:tcW w:w="283" w:type="dxa"/>
            <w:tcBorders>
              <w:top w:val="nil"/>
              <w:left w:val="nil"/>
              <w:bottom w:val="nil"/>
              <w:right w:val="nil"/>
            </w:tcBorders>
          </w:tcPr>
          <w:p w:rsidR="00F11394" w:rsidRPr="00AF4322" w:rsidRDefault="00F11394" w:rsidP="002A6DFA">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F11394" w:rsidRPr="00AF4322" w:rsidRDefault="00F11394" w:rsidP="009648CD">
            <w:pPr>
              <w:pStyle w:val="boxstyle"/>
              <w:jc w:val="left"/>
              <w:rPr>
                <w:rFonts w:ascii="Arial Narrow" w:hAnsi="Arial Narrow"/>
              </w:rPr>
            </w:pPr>
            <w:r w:rsidRPr="0075267F">
              <w:rPr>
                <w:rFonts w:ascii="Arial Narrow" w:hAnsi="Arial Narrow"/>
              </w:rPr>
              <w:t xml:space="preserve">Where in the Offer Document does it include a </w:t>
            </w:r>
            <w:r w:rsidR="009648CD" w:rsidRPr="009648CD">
              <w:rPr>
                <w:rFonts w:ascii="Arial Narrow" w:hAnsi="Arial Narrow"/>
              </w:rPr>
              <w:t>summary of any taxes or duties payable in its place of incorporation, registration or establishment by an investor in relation to the acquisition, holding or disposal of securities in the entity or, if there are no such taxes or duties, a statement to that effect</w:t>
            </w:r>
            <w:r>
              <w:rPr>
                <w:rFonts w:ascii="Arial Narrow" w:hAnsi="Arial Narrow"/>
              </w:rPr>
              <w:t xml:space="preserve"> </w:t>
            </w:r>
            <w:r w:rsidRPr="0075267F">
              <w:rPr>
                <w:rFonts w:ascii="Arial Narrow" w:hAnsi="Arial Narrow"/>
              </w:rPr>
              <w:t>(Guidance Note 4 section 3.2)</w:t>
            </w:r>
            <w:r>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F11394" w:rsidRPr="00AF4322" w:rsidRDefault="00F11394" w:rsidP="002A6DFA">
            <w:pPr>
              <w:pStyle w:val="boxstyle"/>
              <w:jc w:val="left"/>
              <w:rPr>
                <w:rFonts w:ascii="Arial Narrow" w:hAnsi="Arial Narrow"/>
              </w:rPr>
            </w:pPr>
          </w:p>
        </w:tc>
      </w:tr>
      <w:tr w:rsidR="0078319E" w:rsidRPr="00AF4322" w:rsidTr="00C429C8">
        <w:trPr>
          <w:cantSplit/>
        </w:trPr>
        <w:tc>
          <w:tcPr>
            <w:tcW w:w="283" w:type="dxa"/>
            <w:tcBorders>
              <w:top w:val="nil"/>
              <w:left w:val="nil"/>
              <w:bottom w:val="nil"/>
              <w:right w:val="nil"/>
            </w:tcBorders>
          </w:tcPr>
          <w:p w:rsidR="0078319E" w:rsidRPr="00AF4322" w:rsidRDefault="0078319E" w:rsidP="002A6DFA">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8319E" w:rsidRPr="00AF4322" w:rsidRDefault="0078319E" w:rsidP="002A6DFA">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78319E" w:rsidRPr="00AF4322" w:rsidRDefault="0078319E" w:rsidP="002A6DFA">
            <w:pPr>
              <w:ind w:left="0" w:firstLine="0"/>
              <w:jc w:val="left"/>
              <w:rPr>
                <w:rFonts w:ascii="Arial Narrow" w:hAnsi="Arial Narrow"/>
                <w:sz w:val="20"/>
              </w:rPr>
            </w:pPr>
          </w:p>
        </w:tc>
      </w:tr>
      <w:tr w:rsidR="0078319E" w:rsidRPr="00AF4322" w:rsidTr="00C429C8">
        <w:trPr>
          <w:cantSplit/>
        </w:trPr>
        <w:tc>
          <w:tcPr>
            <w:tcW w:w="283" w:type="dxa"/>
            <w:tcBorders>
              <w:top w:val="nil"/>
              <w:left w:val="nil"/>
              <w:bottom w:val="nil"/>
              <w:right w:val="nil"/>
            </w:tcBorders>
          </w:tcPr>
          <w:p w:rsidR="0078319E" w:rsidRPr="00AF4322" w:rsidRDefault="0078319E" w:rsidP="002A6DFA">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78319E" w:rsidRDefault="0078319E" w:rsidP="0078319E">
            <w:pPr>
              <w:pStyle w:val="boxstyle"/>
              <w:jc w:val="left"/>
              <w:rPr>
                <w:rFonts w:ascii="Arial Narrow" w:hAnsi="Arial Narrow"/>
              </w:rPr>
            </w:pPr>
            <w:r w:rsidRPr="0075267F">
              <w:rPr>
                <w:rFonts w:ascii="Arial Narrow" w:hAnsi="Arial Narrow"/>
              </w:rPr>
              <w:t xml:space="preserve">Where in the Offer Document does it </w:t>
            </w:r>
            <w:r>
              <w:rPr>
                <w:rFonts w:ascii="Arial Narrow" w:hAnsi="Arial Narrow"/>
              </w:rPr>
              <w:t>disclose what accounting standards have been used to prepare the pro forma statement of financial position in the Offer Document (Listing Rules 1.2.3(c) and 1.3.5(</w:t>
            </w:r>
            <w:r w:rsidR="00514D37">
              <w:rPr>
                <w:rFonts w:ascii="Arial Narrow" w:hAnsi="Arial Narrow"/>
              </w:rPr>
              <w:t>d</w:t>
            </w:r>
            <w:r>
              <w:rPr>
                <w:rFonts w:ascii="Arial Narrow" w:hAnsi="Arial Narrow"/>
              </w:rPr>
              <w:t>))?</w:t>
            </w:r>
          </w:p>
          <w:p w:rsidR="0078319E" w:rsidRPr="00AF4322" w:rsidRDefault="0078319E" w:rsidP="00514D37">
            <w:pPr>
              <w:pStyle w:val="boxstyle"/>
              <w:spacing w:before="60"/>
              <w:jc w:val="left"/>
              <w:rPr>
                <w:rFonts w:ascii="Arial Narrow" w:hAnsi="Arial Narrow"/>
              </w:rPr>
            </w:pPr>
            <w:r>
              <w:rPr>
                <w:rFonts w:ascii="Arial Narrow" w:hAnsi="Arial Narrow"/>
                <w:sz w:val="16"/>
                <w:szCs w:val="16"/>
              </w:rPr>
              <w:t>Note: Tho</w:t>
            </w:r>
            <w:r w:rsidRPr="00DB4945">
              <w:rPr>
                <w:rFonts w:ascii="Arial Narrow" w:hAnsi="Arial Narrow"/>
                <w:sz w:val="16"/>
                <w:szCs w:val="16"/>
              </w:rPr>
              <w:t>s</w:t>
            </w:r>
            <w:r>
              <w:rPr>
                <w:rFonts w:ascii="Arial Narrow" w:hAnsi="Arial Narrow"/>
                <w:sz w:val="16"/>
                <w:szCs w:val="16"/>
              </w:rPr>
              <w:t>e</w:t>
            </w:r>
            <w:r w:rsidRPr="00DB4945">
              <w:rPr>
                <w:rFonts w:ascii="Arial Narrow" w:hAnsi="Arial Narrow"/>
                <w:sz w:val="16"/>
                <w:szCs w:val="16"/>
              </w:rPr>
              <w:t xml:space="preserve"> </w:t>
            </w:r>
            <w:r w:rsidRPr="0078319E">
              <w:rPr>
                <w:rFonts w:ascii="Arial Narrow" w:hAnsi="Arial Narrow"/>
                <w:sz w:val="16"/>
                <w:szCs w:val="16"/>
              </w:rPr>
              <w:t xml:space="preserve">accounting standards must be Australian Accounting Standards, International Financial Reporting Standards (IFRS) as adopted by the EU, or the accounting standards and generally accepted accounting principles applied in </w:t>
            </w:r>
            <w:r w:rsidR="00514D37">
              <w:rPr>
                <w:rFonts w:ascii="Arial Narrow" w:hAnsi="Arial Narrow"/>
                <w:sz w:val="16"/>
                <w:szCs w:val="16"/>
              </w:rPr>
              <w:t xml:space="preserve">Bermuda, </w:t>
            </w:r>
            <w:r w:rsidRPr="0078319E">
              <w:rPr>
                <w:rFonts w:ascii="Arial Narrow" w:hAnsi="Arial Narrow"/>
                <w:sz w:val="16"/>
                <w:szCs w:val="16"/>
              </w:rPr>
              <w:t>Canada,</w:t>
            </w:r>
            <w:r w:rsidR="00514D37">
              <w:rPr>
                <w:rFonts w:ascii="Arial Narrow" w:hAnsi="Arial Narrow"/>
                <w:sz w:val="16"/>
                <w:szCs w:val="16"/>
              </w:rPr>
              <w:t xml:space="preserve"> Cayman Islands, </w:t>
            </w:r>
            <w:r w:rsidRPr="0078319E">
              <w:rPr>
                <w:rFonts w:ascii="Arial Narrow" w:hAnsi="Arial Narrow"/>
                <w:sz w:val="16"/>
                <w:szCs w:val="16"/>
              </w:rPr>
              <w:t xml:space="preserve">Hong Kong, New Zealand, Singapore, South Africa or USA, or otherwise ASX </w:t>
            </w:r>
            <w:r>
              <w:rPr>
                <w:rFonts w:ascii="Arial Narrow" w:hAnsi="Arial Narrow"/>
                <w:sz w:val="16"/>
                <w:szCs w:val="16"/>
              </w:rPr>
              <w:t>must specifically</w:t>
            </w:r>
            <w:r w:rsidRPr="0078319E">
              <w:rPr>
                <w:rFonts w:ascii="Arial Narrow" w:hAnsi="Arial Narrow"/>
                <w:sz w:val="16"/>
                <w:szCs w:val="16"/>
              </w:rPr>
              <w:t xml:space="preserve"> agree to the use of those accounting standards (Listing Rule 19.11A(b) and Guidance Note 4 section 3.6)</w:t>
            </w:r>
            <w:r w:rsidRPr="00DB4945">
              <w:rPr>
                <w:rFonts w:ascii="Arial Narrow" w:hAnsi="Arial Narrow"/>
                <w:sz w:val="16"/>
                <w:szCs w:val="16"/>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8319E" w:rsidRPr="00AF4322" w:rsidRDefault="0078319E" w:rsidP="002A6DFA">
            <w:pPr>
              <w:pStyle w:val="boxstyle"/>
              <w:jc w:val="left"/>
              <w:rPr>
                <w:rFonts w:ascii="Arial Narrow" w:hAnsi="Arial Narrow"/>
              </w:rPr>
            </w:pPr>
          </w:p>
        </w:tc>
      </w:tr>
      <w:tr w:rsidR="0078319E" w:rsidRPr="00AF4322" w:rsidTr="00C429C8">
        <w:trPr>
          <w:cantSplit/>
        </w:trPr>
        <w:tc>
          <w:tcPr>
            <w:tcW w:w="283" w:type="dxa"/>
            <w:tcBorders>
              <w:top w:val="nil"/>
              <w:left w:val="nil"/>
              <w:bottom w:val="nil"/>
              <w:right w:val="nil"/>
            </w:tcBorders>
          </w:tcPr>
          <w:p w:rsidR="0078319E" w:rsidRPr="00AF4322" w:rsidRDefault="0078319E" w:rsidP="002A6DFA">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8319E" w:rsidRPr="00AF4322" w:rsidRDefault="0078319E" w:rsidP="002A6DFA">
            <w:pPr>
              <w:ind w:left="0" w:firstLine="0"/>
              <w:jc w:val="left"/>
              <w:rPr>
                <w:rFonts w:ascii="Arial Narrow" w:hAnsi="Arial Narrow"/>
                <w:sz w:val="20"/>
              </w:rPr>
            </w:pPr>
          </w:p>
        </w:tc>
        <w:tc>
          <w:tcPr>
            <w:tcW w:w="3118" w:type="dxa"/>
            <w:tcBorders>
              <w:top w:val="nil"/>
              <w:left w:val="nil"/>
              <w:bottom w:val="single" w:sz="4" w:space="0" w:color="auto"/>
              <w:right w:val="nil"/>
            </w:tcBorders>
            <w:tcMar>
              <w:left w:w="85" w:type="dxa"/>
              <w:right w:w="85" w:type="dxa"/>
            </w:tcMar>
          </w:tcPr>
          <w:p w:rsidR="0078319E" w:rsidRPr="00AF4322" w:rsidRDefault="0078319E" w:rsidP="002A6DFA">
            <w:pPr>
              <w:ind w:left="0" w:firstLine="0"/>
              <w:jc w:val="left"/>
              <w:rPr>
                <w:rFonts w:ascii="Arial Narrow" w:hAnsi="Arial Narrow"/>
                <w:sz w:val="20"/>
              </w:rPr>
            </w:pPr>
          </w:p>
        </w:tc>
      </w:tr>
      <w:tr w:rsidR="0078319E" w:rsidRPr="00AF4322" w:rsidTr="00C429C8">
        <w:trPr>
          <w:cantSplit/>
        </w:trPr>
        <w:tc>
          <w:tcPr>
            <w:tcW w:w="283" w:type="dxa"/>
            <w:tcBorders>
              <w:top w:val="nil"/>
              <w:left w:val="nil"/>
              <w:bottom w:val="nil"/>
              <w:right w:val="nil"/>
            </w:tcBorders>
          </w:tcPr>
          <w:p w:rsidR="0078319E" w:rsidRPr="00AF4322" w:rsidRDefault="0078319E" w:rsidP="002A6DFA">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78319E" w:rsidRDefault="0078319E" w:rsidP="0078319E">
            <w:pPr>
              <w:pStyle w:val="boxstyle"/>
              <w:jc w:val="left"/>
              <w:rPr>
                <w:rFonts w:ascii="Arial Narrow" w:hAnsi="Arial Narrow"/>
              </w:rPr>
            </w:pPr>
            <w:r w:rsidRPr="0075267F">
              <w:rPr>
                <w:rFonts w:ascii="Arial Narrow" w:hAnsi="Arial Narrow"/>
              </w:rPr>
              <w:t xml:space="preserve">Where in the Offer Document does it </w:t>
            </w:r>
            <w:r>
              <w:rPr>
                <w:rFonts w:ascii="Arial Narrow" w:hAnsi="Arial Narrow"/>
              </w:rPr>
              <w:t>disclose what auditing standards were applied to the review of the pro forma statement of financial position in the Offer Document (Li</w:t>
            </w:r>
            <w:r w:rsidR="00514D37">
              <w:rPr>
                <w:rFonts w:ascii="Arial Narrow" w:hAnsi="Arial Narrow"/>
              </w:rPr>
              <w:t>sting Rules 1.2.3(c) and 1.3.5(d</w:t>
            </w:r>
            <w:r>
              <w:rPr>
                <w:rFonts w:ascii="Arial Narrow" w:hAnsi="Arial Narrow"/>
              </w:rPr>
              <w:t>))?</w:t>
            </w:r>
          </w:p>
          <w:p w:rsidR="0078319E" w:rsidRPr="00AF4322" w:rsidRDefault="0078319E" w:rsidP="00602EDA">
            <w:pPr>
              <w:pStyle w:val="boxstyle"/>
              <w:jc w:val="left"/>
              <w:rPr>
                <w:rFonts w:ascii="Arial Narrow" w:hAnsi="Arial Narrow"/>
              </w:rPr>
            </w:pPr>
            <w:r w:rsidRPr="0078319E">
              <w:rPr>
                <w:rFonts w:ascii="Arial Narrow" w:hAnsi="Arial Narrow"/>
                <w:sz w:val="16"/>
                <w:szCs w:val="16"/>
              </w:rPr>
              <w:t xml:space="preserve">Note: those auditing standards must be Australian Auditing Standards, International Standards on Auditing or US Auditing Standards, or otherwise ASX </w:t>
            </w:r>
            <w:r>
              <w:rPr>
                <w:rFonts w:ascii="Arial Narrow" w:hAnsi="Arial Narrow"/>
                <w:sz w:val="16"/>
                <w:szCs w:val="16"/>
              </w:rPr>
              <w:t>must specifically</w:t>
            </w:r>
            <w:r w:rsidRPr="0078319E">
              <w:rPr>
                <w:rFonts w:ascii="Arial Narrow" w:hAnsi="Arial Narrow"/>
                <w:sz w:val="16"/>
                <w:szCs w:val="16"/>
              </w:rPr>
              <w:t xml:space="preserve"> agree to the use of those a</w:t>
            </w:r>
            <w:r>
              <w:rPr>
                <w:rFonts w:ascii="Arial Narrow" w:hAnsi="Arial Narrow"/>
                <w:sz w:val="16"/>
                <w:szCs w:val="16"/>
              </w:rPr>
              <w:t>udit</w:t>
            </w:r>
            <w:r w:rsidRPr="0078319E">
              <w:rPr>
                <w:rFonts w:ascii="Arial Narrow" w:hAnsi="Arial Narrow"/>
                <w:sz w:val="16"/>
                <w:szCs w:val="16"/>
              </w:rPr>
              <w:t>ing standards</w:t>
            </w:r>
            <w:r>
              <w:rPr>
                <w:rFonts w:ascii="Arial Narrow" w:hAnsi="Arial Narrow"/>
                <w:sz w:val="16"/>
                <w:szCs w:val="16"/>
              </w:rPr>
              <w:t xml:space="preserve"> </w:t>
            </w:r>
            <w:r w:rsidRPr="0078319E">
              <w:rPr>
                <w:rFonts w:ascii="Arial Narrow" w:hAnsi="Arial Narrow"/>
                <w:sz w:val="16"/>
                <w:szCs w:val="16"/>
              </w:rPr>
              <w:t>(Listing Rule 19.11A(c) and Guidance Note 4 section 3.6).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8319E" w:rsidRPr="00AF4322" w:rsidRDefault="0078319E" w:rsidP="002A6DFA">
            <w:pPr>
              <w:pStyle w:val="boxstyle"/>
              <w:jc w:val="left"/>
              <w:rPr>
                <w:rFonts w:ascii="Arial Narrow" w:hAnsi="Arial Narrow"/>
              </w:rPr>
            </w:pPr>
          </w:p>
        </w:tc>
      </w:tr>
      <w:tr w:rsidR="0078319E" w:rsidRPr="00AF4322" w:rsidTr="00C429C8">
        <w:trPr>
          <w:cantSplit/>
        </w:trPr>
        <w:tc>
          <w:tcPr>
            <w:tcW w:w="283" w:type="dxa"/>
            <w:tcBorders>
              <w:top w:val="nil"/>
              <w:left w:val="nil"/>
              <w:bottom w:val="nil"/>
              <w:right w:val="nil"/>
            </w:tcBorders>
          </w:tcPr>
          <w:p w:rsidR="0078319E" w:rsidRPr="00AF4322" w:rsidRDefault="0078319E" w:rsidP="002A6DFA">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8319E" w:rsidRPr="00AF4322" w:rsidRDefault="0078319E" w:rsidP="002A6DFA">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78319E" w:rsidRPr="00AF4322" w:rsidRDefault="0078319E" w:rsidP="002A6DFA">
            <w:pPr>
              <w:ind w:left="0" w:firstLine="0"/>
              <w:jc w:val="left"/>
              <w:rPr>
                <w:rFonts w:ascii="Arial Narrow" w:hAnsi="Arial Narrow"/>
                <w:sz w:val="20"/>
              </w:rPr>
            </w:pPr>
          </w:p>
        </w:tc>
      </w:tr>
      <w:tr w:rsidR="00D433E3" w:rsidRPr="00AF4322" w:rsidTr="00C429C8">
        <w:trPr>
          <w:cantSplit/>
        </w:trPr>
        <w:tc>
          <w:tcPr>
            <w:tcW w:w="283" w:type="dxa"/>
            <w:tcBorders>
              <w:top w:val="nil"/>
              <w:left w:val="nil"/>
              <w:bottom w:val="nil"/>
              <w:right w:val="nil"/>
            </w:tcBorders>
          </w:tcPr>
          <w:p w:rsidR="00D433E3" w:rsidRPr="00AF4322" w:rsidRDefault="00D433E3" w:rsidP="002A6DFA">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D433E3" w:rsidRPr="00AF4322" w:rsidRDefault="00D433E3" w:rsidP="0078319E">
            <w:pPr>
              <w:pStyle w:val="boxstyle"/>
              <w:jc w:val="left"/>
              <w:rPr>
                <w:rFonts w:ascii="Arial Narrow" w:hAnsi="Arial Narrow"/>
              </w:rPr>
            </w:pPr>
            <w:r w:rsidRPr="0075267F">
              <w:rPr>
                <w:rFonts w:ascii="Arial Narrow" w:hAnsi="Arial Narrow"/>
              </w:rPr>
              <w:t xml:space="preserve">Where in the Offer Document does it </w:t>
            </w:r>
            <w:r>
              <w:rPr>
                <w:rFonts w:ascii="Arial Narrow" w:hAnsi="Arial Narrow"/>
              </w:rPr>
              <w:t xml:space="preserve">disclose what accounting standards </w:t>
            </w:r>
            <w:r w:rsidR="0078319E">
              <w:rPr>
                <w:rFonts w:ascii="Arial Narrow" w:hAnsi="Arial Narrow"/>
              </w:rPr>
              <w:t>the entity will apply to the preparation of its financial statements after</w:t>
            </w:r>
            <w:r>
              <w:rPr>
                <w:rFonts w:ascii="Arial Narrow" w:hAnsi="Arial Narrow"/>
              </w:rPr>
              <w:t xml:space="preserve"> it is listed?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D433E3" w:rsidRPr="00AF4322" w:rsidRDefault="00D433E3" w:rsidP="002A6DFA">
            <w:pPr>
              <w:pStyle w:val="boxstyle"/>
              <w:jc w:val="left"/>
              <w:rPr>
                <w:rFonts w:ascii="Arial Narrow" w:hAnsi="Arial Narrow"/>
              </w:rPr>
            </w:pPr>
          </w:p>
        </w:tc>
      </w:tr>
      <w:tr w:rsidR="003144CA" w:rsidRPr="00AF4322" w:rsidTr="00C429C8">
        <w:trPr>
          <w:cantSplit/>
        </w:trPr>
        <w:tc>
          <w:tcPr>
            <w:tcW w:w="283" w:type="dxa"/>
            <w:tcBorders>
              <w:top w:val="nil"/>
              <w:left w:val="nil"/>
              <w:bottom w:val="nil"/>
              <w:right w:val="nil"/>
            </w:tcBorders>
          </w:tcPr>
          <w:p w:rsidR="003144CA" w:rsidRPr="00AF4322" w:rsidRDefault="003144CA" w:rsidP="003D09C9">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3144CA" w:rsidRPr="00AF4322" w:rsidRDefault="003144CA" w:rsidP="003D09C9">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3144CA" w:rsidRPr="00AF4322" w:rsidRDefault="003144CA" w:rsidP="003D09C9">
            <w:pPr>
              <w:ind w:left="0" w:firstLine="0"/>
              <w:jc w:val="left"/>
              <w:rPr>
                <w:rFonts w:ascii="Arial Narrow" w:hAnsi="Arial Narrow"/>
                <w:sz w:val="20"/>
              </w:rPr>
            </w:pPr>
          </w:p>
        </w:tc>
      </w:tr>
      <w:tr w:rsidR="00FD1126" w:rsidRPr="00835256" w:rsidTr="00C429C8">
        <w:trPr>
          <w:cantSplit/>
        </w:trPr>
        <w:tc>
          <w:tcPr>
            <w:tcW w:w="283" w:type="dxa"/>
            <w:tcBorders>
              <w:top w:val="nil"/>
              <w:left w:val="nil"/>
              <w:bottom w:val="nil"/>
              <w:right w:val="nil"/>
            </w:tcBorders>
          </w:tcPr>
          <w:p w:rsidR="00FD1126" w:rsidRPr="00835256" w:rsidRDefault="00FD1126" w:rsidP="0078319E">
            <w:pPr>
              <w:pStyle w:val="boxstyle"/>
              <w:numPr>
                <w:ilvl w:val="0"/>
                <w:numId w:val="15"/>
              </w:numPr>
              <w:tabs>
                <w:tab w:val="left" w:pos="150"/>
              </w:tabs>
              <w:ind w:left="0" w:firstLine="0"/>
              <w:jc w:val="left"/>
              <w:rPr>
                <w:rFonts w:ascii="Arial Narrow" w:hAnsi="Arial Narrow"/>
              </w:rPr>
            </w:pPr>
            <w:bookmarkStart w:id="2" w:name="_Ref376438563"/>
          </w:p>
        </w:tc>
        <w:bookmarkEnd w:id="2"/>
        <w:tc>
          <w:tcPr>
            <w:tcW w:w="5670" w:type="dxa"/>
            <w:tcBorders>
              <w:top w:val="nil"/>
              <w:left w:val="nil"/>
              <w:bottom w:val="nil"/>
              <w:right w:val="single" w:sz="6" w:space="0" w:color="auto"/>
            </w:tcBorders>
            <w:tcMar>
              <w:right w:w="85" w:type="dxa"/>
            </w:tcMar>
          </w:tcPr>
          <w:p w:rsidR="00FD1126" w:rsidRPr="00835256" w:rsidRDefault="00D433E3" w:rsidP="00602EDA">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those accounting standards are not </w:t>
            </w:r>
            <w:r w:rsidR="00FD1126">
              <w:rPr>
                <w:rFonts w:ascii="Arial Narrow" w:hAnsi="Arial Narrow"/>
                <w:color w:val="000000"/>
                <w:sz w:val="20"/>
                <w:lang w:val="en-AU"/>
              </w:rPr>
              <w:t>Australian Accounting Standards</w:t>
            </w:r>
            <w:r w:rsidR="00435CA9">
              <w:rPr>
                <w:rFonts w:ascii="Arial Narrow" w:hAnsi="Arial Narrow"/>
                <w:color w:val="000000"/>
                <w:sz w:val="20"/>
                <w:lang w:val="en-AU"/>
              </w:rPr>
              <w:t>,</w:t>
            </w:r>
            <w:r w:rsidR="00435CA9" w:rsidRPr="00435CA9">
              <w:rPr>
                <w:rFonts w:ascii="Arial Narrow" w:hAnsi="Arial Narrow"/>
                <w:color w:val="000000"/>
                <w:sz w:val="20"/>
                <w:lang w:val="en-AU"/>
              </w:rPr>
              <w:t xml:space="preserve"> International Financial Reporting Standards (IFRS) as adopted by the EU</w:t>
            </w:r>
            <w:r w:rsidR="00C9214E">
              <w:rPr>
                <w:rFonts w:ascii="Arial Narrow" w:hAnsi="Arial Narrow"/>
                <w:color w:val="000000"/>
                <w:sz w:val="20"/>
                <w:lang w:val="en-AU"/>
              </w:rPr>
              <w:t>,</w:t>
            </w:r>
            <w:r w:rsidR="00435CA9" w:rsidRPr="00435CA9">
              <w:rPr>
                <w:rFonts w:ascii="Arial Narrow" w:hAnsi="Arial Narrow"/>
                <w:color w:val="000000"/>
                <w:sz w:val="20"/>
                <w:lang w:val="en-AU"/>
              </w:rPr>
              <w:t xml:space="preserve"> or the accounting standards and generally accepted accounting principles applied in </w:t>
            </w:r>
            <w:r w:rsidR="00514D37">
              <w:rPr>
                <w:rFonts w:ascii="Arial Narrow" w:hAnsi="Arial Narrow"/>
                <w:color w:val="000000"/>
                <w:sz w:val="20"/>
                <w:lang w:val="en-AU"/>
              </w:rPr>
              <w:t xml:space="preserve">Bermuda, </w:t>
            </w:r>
            <w:r w:rsidR="0078319E">
              <w:rPr>
                <w:rFonts w:ascii="Arial Narrow" w:hAnsi="Arial Narrow"/>
                <w:color w:val="000000"/>
                <w:sz w:val="20"/>
                <w:lang w:val="en-AU"/>
              </w:rPr>
              <w:t xml:space="preserve">Canada, </w:t>
            </w:r>
            <w:r w:rsidR="00514D37">
              <w:rPr>
                <w:rFonts w:ascii="Arial Narrow" w:hAnsi="Arial Narrow"/>
                <w:color w:val="000000"/>
                <w:sz w:val="20"/>
                <w:lang w:val="en-AU"/>
              </w:rPr>
              <w:t xml:space="preserve">Cayman Islands, </w:t>
            </w:r>
            <w:r w:rsidR="00435CA9" w:rsidRPr="00435CA9">
              <w:rPr>
                <w:rFonts w:ascii="Arial Narrow" w:hAnsi="Arial Narrow"/>
                <w:color w:val="000000"/>
                <w:sz w:val="20"/>
                <w:lang w:val="en-AU"/>
              </w:rPr>
              <w:t xml:space="preserve">Hong Kong, </w:t>
            </w:r>
            <w:r w:rsidR="0078319E">
              <w:rPr>
                <w:rFonts w:ascii="Arial Narrow" w:hAnsi="Arial Narrow"/>
                <w:color w:val="000000"/>
                <w:sz w:val="20"/>
                <w:lang w:val="en-AU"/>
              </w:rPr>
              <w:t xml:space="preserve">New Zealand, </w:t>
            </w:r>
            <w:r w:rsidR="00435CA9" w:rsidRPr="00435CA9">
              <w:rPr>
                <w:rFonts w:ascii="Arial Narrow" w:hAnsi="Arial Narrow"/>
                <w:color w:val="000000"/>
                <w:sz w:val="20"/>
                <w:lang w:val="en-AU"/>
              </w:rPr>
              <w:t>Singapore</w:t>
            </w:r>
            <w:r w:rsidR="0078319E">
              <w:rPr>
                <w:rFonts w:ascii="Arial Narrow" w:hAnsi="Arial Narrow"/>
                <w:color w:val="000000"/>
                <w:sz w:val="20"/>
                <w:lang w:val="en-AU"/>
              </w:rPr>
              <w:t>, South Africa</w:t>
            </w:r>
            <w:r w:rsidR="00435CA9" w:rsidRPr="00435CA9">
              <w:rPr>
                <w:rFonts w:ascii="Arial Narrow" w:hAnsi="Arial Narrow"/>
                <w:color w:val="000000"/>
                <w:sz w:val="20"/>
                <w:lang w:val="en-AU"/>
              </w:rPr>
              <w:t xml:space="preserve"> </w:t>
            </w:r>
            <w:r w:rsidR="00435CA9">
              <w:rPr>
                <w:rFonts w:ascii="Arial Narrow" w:hAnsi="Arial Narrow"/>
                <w:color w:val="000000"/>
                <w:sz w:val="20"/>
                <w:lang w:val="en-AU"/>
              </w:rPr>
              <w:t>or</w:t>
            </w:r>
            <w:r w:rsidR="00435CA9" w:rsidRPr="00435CA9">
              <w:rPr>
                <w:rFonts w:ascii="Arial Narrow" w:hAnsi="Arial Narrow"/>
                <w:color w:val="000000"/>
                <w:sz w:val="20"/>
                <w:lang w:val="en-AU"/>
              </w:rPr>
              <w:t xml:space="preserve"> USA</w:t>
            </w:r>
            <w:r w:rsidR="00C9214E">
              <w:rPr>
                <w:rFonts w:ascii="Arial Narrow" w:hAnsi="Arial Narrow"/>
                <w:color w:val="000000"/>
                <w:sz w:val="20"/>
                <w:lang w:val="en-AU"/>
              </w:rPr>
              <w:t>,</w:t>
            </w:r>
            <w:r>
              <w:rPr>
                <w:rFonts w:ascii="Arial Narrow" w:hAnsi="Arial Narrow"/>
                <w:color w:val="000000"/>
                <w:sz w:val="20"/>
                <w:lang w:val="en-AU"/>
              </w:rPr>
              <w:t xml:space="preserve"> where in the offer document does it disclose that ASX has agreed to </w:t>
            </w:r>
            <w:r w:rsidR="0078319E">
              <w:rPr>
                <w:rFonts w:ascii="Arial Narrow" w:hAnsi="Arial Narrow"/>
                <w:color w:val="000000"/>
                <w:sz w:val="20"/>
                <w:lang w:val="en-AU"/>
              </w:rPr>
              <w:t xml:space="preserve">the use of </w:t>
            </w:r>
            <w:r>
              <w:rPr>
                <w:rFonts w:ascii="Arial Narrow" w:hAnsi="Arial Narrow"/>
                <w:color w:val="000000"/>
                <w:sz w:val="20"/>
                <w:lang w:val="en-AU"/>
              </w:rPr>
              <w:t xml:space="preserve">those accounting standards (Listing Rule 19.11A(b) and </w:t>
            </w:r>
            <w:r w:rsidRPr="00435CA9">
              <w:rPr>
                <w:rFonts w:ascii="Arial Narrow" w:hAnsi="Arial Narrow"/>
                <w:color w:val="000000"/>
                <w:sz w:val="20"/>
                <w:lang w:val="en-AU"/>
              </w:rPr>
              <w:t>Guidance Note 4 section 3.6</w:t>
            </w:r>
            <w:r w:rsidR="00C9214E">
              <w:rPr>
                <w:rFonts w:ascii="Arial Narrow" w:hAnsi="Arial Narrow"/>
                <w:color w:val="000000"/>
                <w:sz w:val="20"/>
                <w:lang w:val="en-AU"/>
              </w:rPr>
              <w:t>)</w:t>
            </w:r>
            <w:r w:rsidR="00FD1126"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FD1126" w:rsidRPr="00835256" w:rsidRDefault="00FD1126" w:rsidP="0078319E">
            <w:pPr>
              <w:pStyle w:val="boxstyle"/>
              <w:jc w:val="left"/>
              <w:rPr>
                <w:rFonts w:ascii="Arial Narrow" w:hAnsi="Arial Narrow"/>
              </w:rPr>
            </w:pPr>
          </w:p>
        </w:tc>
      </w:tr>
      <w:tr w:rsidR="00435CA9" w:rsidRPr="00AF4322" w:rsidTr="00C429C8">
        <w:trPr>
          <w:cantSplit/>
        </w:trPr>
        <w:tc>
          <w:tcPr>
            <w:tcW w:w="283" w:type="dxa"/>
            <w:tcBorders>
              <w:top w:val="nil"/>
              <w:left w:val="nil"/>
              <w:bottom w:val="nil"/>
              <w:right w:val="nil"/>
            </w:tcBorders>
          </w:tcPr>
          <w:p w:rsidR="00435CA9" w:rsidRPr="00AF4322" w:rsidRDefault="00435CA9" w:rsidP="002A6DFA">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435CA9" w:rsidRPr="00AF4322" w:rsidRDefault="00435CA9" w:rsidP="002A6DFA">
            <w:pPr>
              <w:ind w:left="0" w:firstLine="0"/>
              <w:jc w:val="left"/>
              <w:rPr>
                <w:rFonts w:ascii="Arial Narrow" w:hAnsi="Arial Narrow"/>
                <w:sz w:val="20"/>
              </w:rPr>
            </w:pPr>
          </w:p>
        </w:tc>
        <w:tc>
          <w:tcPr>
            <w:tcW w:w="3118" w:type="dxa"/>
            <w:tcBorders>
              <w:top w:val="single" w:sz="6" w:space="0" w:color="auto"/>
              <w:left w:val="nil"/>
              <w:bottom w:val="nil"/>
              <w:right w:val="nil"/>
            </w:tcBorders>
            <w:tcMar>
              <w:left w:w="85" w:type="dxa"/>
              <w:right w:w="85" w:type="dxa"/>
            </w:tcMar>
          </w:tcPr>
          <w:p w:rsidR="00435CA9" w:rsidRPr="00AF4322" w:rsidRDefault="00435CA9" w:rsidP="002A6DFA">
            <w:pPr>
              <w:ind w:left="0" w:firstLine="0"/>
              <w:jc w:val="left"/>
              <w:rPr>
                <w:rFonts w:ascii="Arial Narrow" w:hAnsi="Arial Narrow"/>
                <w:sz w:val="20"/>
              </w:rPr>
            </w:pPr>
          </w:p>
        </w:tc>
      </w:tr>
      <w:tr w:rsidR="00D433E3" w:rsidRPr="00AF4322" w:rsidTr="00C429C8">
        <w:trPr>
          <w:cantSplit/>
        </w:trPr>
        <w:tc>
          <w:tcPr>
            <w:tcW w:w="283" w:type="dxa"/>
            <w:tcBorders>
              <w:top w:val="nil"/>
              <w:left w:val="nil"/>
              <w:bottom w:val="nil"/>
              <w:right w:val="nil"/>
            </w:tcBorders>
          </w:tcPr>
          <w:p w:rsidR="00D433E3" w:rsidRPr="00AF4322" w:rsidRDefault="00D433E3" w:rsidP="002A6DFA">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D433E3" w:rsidRPr="00AF4322" w:rsidRDefault="00D433E3" w:rsidP="0078319E">
            <w:pPr>
              <w:pStyle w:val="boxstyle"/>
              <w:jc w:val="left"/>
              <w:rPr>
                <w:rFonts w:ascii="Arial Narrow" w:hAnsi="Arial Narrow"/>
              </w:rPr>
            </w:pPr>
            <w:r w:rsidRPr="0075267F">
              <w:rPr>
                <w:rFonts w:ascii="Arial Narrow" w:hAnsi="Arial Narrow"/>
              </w:rPr>
              <w:t xml:space="preserve">Where in the Offer Document does it </w:t>
            </w:r>
            <w:r>
              <w:rPr>
                <w:rFonts w:ascii="Arial Narrow" w:hAnsi="Arial Narrow"/>
              </w:rPr>
              <w:t xml:space="preserve">disclose what auditing standards </w:t>
            </w:r>
            <w:r w:rsidR="00355D5E">
              <w:rPr>
                <w:rFonts w:ascii="Arial Narrow" w:hAnsi="Arial Narrow"/>
              </w:rPr>
              <w:t xml:space="preserve">the entity’s auditor </w:t>
            </w:r>
            <w:r>
              <w:rPr>
                <w:rFonts w:ascii="Arial Narrow" w:hAnsi="Arial Narrow"/>
              </w:rPr>
              <w:t>will apply to the entity</w:t>
            </w:r>
            <w:r w:rsidR="00C9214E">
              <w:rPr>
                <w:rFonts w:ascii="Arial Narrow" w:hAnsi="Arial Narrow"/>
              </w:rPr>
              <w:t>’s financial statements</w:t>
            </w:r>
            <w:r>
              <w:rPr>
                <w:rFonts w:ascii="Arial Narrow" w:hAnsi="Arial Narrow"/>
              </w:rPr>
              <w:t xml:space="preserve"> </w:t>
            </w:r>
            <w:r w:rsidR="0078319E">
              <w:rPr>
                <w:rFonts w:ascii="Arial Narrow" w:hAnsi="Arial Narrow"/>
              </w:rPr>
              <w:t>after</w:t>
            </w:r>
            <w:r>
              <w:rPr>
                <w:rFonts w:ascii="Arial Narrow" w:hAnsi="Arial Narrow"/>
              </w:rPr>
              <w:t xml:space="preserve"> it is listed?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D433E3" w:rsidRPr="00AF4322" w:rsidRDefault="00D433E3" w:rsidP="002A6DFA">
            <w:pPr>
              <w:pStyle w:val="boxstyle"/>
              <w:jc w:val="left"/>
              <w:rPr>
                <w:rFonts w:ascii="Arial Narrow" w:hAnsi="Arial Narrow"/>
              </w:rPr>
            </w:pPr>
          </w:p>
        </w:tc>
      </w:tr>
      <w:tr w:rsidR="00CE37A7" w:rsidRPr="00AF4322" w:rsidTr="00A667A5">
        <w:trPr>
          <w:cantSplit/>
        </w:trPr>
        <w:tc>
          <w:tcPr>
            <w:tcW w:w="283" w:type="dxa"/>
            <w:tcBorders>
              <w:top w:val="nil"/>
              <w:left w:val="nil"/>
              <w:bottom w:val="nil"/>
              <w:right w:val="nil"/>
            </w:tcBorders>
          </w:tcPr>
          <w:p w:rsidR="00CE37A7" w:rsidRPr="00AF4322" w:rsidRDefault="00CE37A7" w:rsidP="00A667A5">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CE37A7" w:rsidRPr="00AF4322" w:rsidRDefault="00CE37A7" w:rsidP="00A667A5">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CE37A7" w:rsidRPr="00AF4322" w:rsidRDefault="00CE37A7" w:rsidP="00A667A5">
            <w:pPr>
              <w:ind w:left="0" w:firstLine="0"/>
              <w:jc w:val="left"/>
              <w:rPr>
                <w:rFonts w:ascii="Arial Narrow" w:hAnsi="Arial Narrow"/>
                <w:sz w:val="20"/>
              </w:rPr>
            </w:pPr>
          </w:p>
        </w:tc>
      </w:tr>
      <w:tr w:rsidR="00CE37A7" w:rsidRPr="00835256" w:rsidTr="00A667A5">
        <w:trPr>
          <w:cantSplit/>
        </w:trPr>
        <w:tc>
          <w:tcPr>
            <w:tcW w:w="283" w:type="dxa"/>
            <w:tcBorders>
              <w:top w:val="nil"/>
              <w:left w:val="nil"/>
              <w:bottom w:val="nil"/>
              <w:right w:val="nil"/>
            </w:tcBorders>
          </w:tcPr>
          <w:p w:rsidR="00CE37A7" w:rsidRPr="00835256" w:rsidRDefault="00CE37A7" w:rsidP="00A667A5">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CE37A7" w:rsidRPr="00835256" w:rsidRDefault="00CE37A7" w:rsidP="00A667A5">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those auditing standards are not Australian Auditing Standards, </w:t>
            </w:r>
            <w:r w:rsidRPr="00435CA9">
              <w:rPr>
                <w:rFonts w:ascii="Arial Narrow" w:hAnsi="Arial Narrow"/>
                <w:color w:val="000000"/>
                <w:sz w:val="20"/>
                <w:lang w:val="en-AU"/>
              </w:rPr>
              <w:t>International Standards on Auditing or US Auditing Standards</w:t>
            </w:r>
            <w:r>
              <w:rPr>
                <w:rFonts w:ascii="Arial Narrow" w:hAnsi="Arial Narrow"/>
                <w:color w:val="000000"/>
                <w:sz w:val="20"/>
                <w:lang w:val="en-AU"/>
              </w:rPr>
              <w:t xml:space="preserve">, </w:t>
            </w:r>
            <w:r w:rsidRPr="007104BD">
              <w:rPr>
                <w:rFonts w:ascii="Arial Narrow" w:hAnsi="Arial Narrow"/>
                <w:color w:val="000000"/>
                <w:sz w:val="20"/>
                <w:lang w:val="en-AU"/>
              </w:rPr>
              <w:t xml:space="preserve">where in the Offer Document does it disclose that ASX has agreed to </w:t>
            </w:r>
            <w:r>
              <w:rPr>
                <w:rFonts w:ascii="Arial Narrow" w:hAnsi="Arial Narrow"/>
                <w:color w:val="000000"/>
                <w:sz w:val="20"/>
                <w:lang w:val="en-AU"/>
              </w:rPr>
              <w:t xml:space="preserve">the use of </w:t>
            </w:r>
            <w:r w:rsidRPr="007104BD">
              <w:rPr>
                <w:rFonts w:ascii="Arial Narrow" w:hAnsi="Arial Narrow"/>
                <w:color w:val="000000"/>
                <w:sz w:val="20"/>
                <w:lang w:val="en-AU"/>
              </w:rPr>
              <w:t>th</w:t>
            </w:r>
            <w:r>
              <w:rPr>
                <w:rFonts w:ascii="Arial Narrow" w:hAnsi="Arial Narrow"/>
                <w:color w:val="000000"/>
                <w:sz w:val="20"/>
                <w:lang w:val="en-AU"/>
              </w:rPr>
              <w:t>os</w:t>
            </w:r>
            <w:r w:rsidRPr="007104BD">
              <w:rPr>
                <w:rFonts w:ascii="Arial Narrow" w:hAnsi="Arial Narrow"/>
                <w:color w:val="000000"/>
                <w:sz w:val="20"/>
                <w:lang w:val="en-AU"/>
              </w:rPr>
              <w:t xml:space="preserve">e </w:t>
            </w:r>
            <w:r>
              <w:rPr>
                <w:rFonts w:ascii="Arial Narrow" w:hAnsi="Arial Narrow"/>
                <w:color w:val="000000"/>
                <w:sz w:val="20"/>
                <w:lang w:val="en-AU"/>
              </w:rPr>
              <w:t>auditing</w:t>
            </w:r>
            <w:r w:rsidRPr="007104BD">
              <w:rPr>
                <w:rFonts w:ascii="Arial Narrow" w:hAnsi="Arial Narrow"/>
                <w:color w:val="000000"/>
                <w:sz w:val="20"/>
                <w:lang w:val="en-AU"/>
              </w:rPr>
              <w:t xml:space="preserve"> standards</w:t>
            </w:r>
            <w:r>
              <w:rPr>
                <w:rFonts w:ascii="Arial Narrow" w:hAnsi="Arial Narrow"/>
                <w:color w:val="000000"/>
                <w:sz w:val="20"/>
                <w:lang w:val="en-AU"/>
              </w:rPr>
              <w:t xml:space="preserve"> (Listing Rule 19.11A(c) and </w:t>
            </w:r>
            <w:r w:rsidRPr="00435CA9">
              <w:rPr>
                <w:rFonts w:ascii="Arial Narrow" w:hAnsi="Arial Narrow"/>
                <w:color w:val="000000"/>
                <w:sz w:val="20"/>
                <w:lang w:val="en-AU"/>
              </w:rPr>
              <w:t>Guidance Note 4 section 3.6</w:t>
            </w:r>
            <w:r>
              <w:rPr>
                <w:rFonts w:ascii="Arial Narrow" w:hAnsi="Arial Narrow"/>
                <w:color w:val="000000"/>
                <w:sz w:val="20"/>
                <w:lang w:val="en-AU"/>
              </w:rPr>
              <w:t>)</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E37A7" w:rsidRPr="00835256" w:rsidRDefault="00CE37A7" w:rsidP="00A667A5">
            <w:pPr>
              <w:pStyle w:val="boxstyle"/>
              <w:jc w:val="left"/>
              <w:rPr>
                <w:rFonts w:ascii="Arial Narrow" w:hAnsi="Arial Narrow"/>
              </w:rPr>
            </w:pPr>
          </w:p>
        </w:tc>
      </w:tr>
      <w:tr w:rsidR="00D433E3" w:rsidRPr="00AF4322" w:rsidTr="00C429C8">
        <w:trPr>
          <w:cantSplit/>
        </w:trPr>
        <w:tc>
          <w:tcPr>
            <w:tcW w:w="283" w:type="dxa"/>
            <w:tcBorders>
              <w:top w:val="nil"/>
              <w:left w:val="nil"/>
              <w:bottom w:val="nil"/>
              <w:right w:val="nil"/>
            </w:tcBorders>
          </w:tcPr>
          <w:p w:rsidR="00D433E3" w:rsidRPr="00AF4322" w:rsidRDefault="00D433E3" w:rsidP="002A6DFA">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D433E3" w:rsidRPr="00AF4322" w:rsidRDefault="00D433E3" w:rsidP="002A6DFA">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D433E3" w:rsidRPr="00AF4322" w:rsidRDefault="00D433E3" w:rsidP="002A6DFA">
            <w:pPr>
              <w:ind w:left="0" w:firstLine="0"/>
              <w:jc w:val="left"/>
              <w:rPr>
                <w:rFonts w:ascii="Arial Narrow" w:hAnsi="Arial Narrow"/>
                <w:sz w:val="20"/>
              </w:rPr>
            </w:pPr>
          </w:p>
        </w:tc>
      </w:tr>
      <w:tr w:rsidR="00435CA9" w:rsidRPr="00835256" w:rsidTr="00C429C8">
        <w:trPr>
          <w:cantSplit/>
        </w:trPr>
        <w:tc>
          <w:tcPr>
            <w:tcW w:w="283" w:type="dxa"/>
            <w:tcBorders>
              <w:top w:val="nil"/>
              <w:left w:val="nil"/>
              <w:bottom w:val="nil"/>
              <w:right w:val="nil"/>
            </w:tcBorders>
          </w:tcPr>
          <w:p w:rsidR="00435CA9" w:rsidRPr="00835256" w:rsidRDefault="00435CA9" w:rsidP="0078319E">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435CA9" w:rsidRPr="00835256" w:rsidRDefault="00D433E3" w:rsidP="00CE37A7">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w:t>
            </w:r>
            <w:r w:rsidR="00CE37A7">
              <w:rPr>
                <w:rFonts w:ascii="Arial Narrow" w:hAnsi="Arial Narrow"/>
                <w:color w:val="000000"/>
                <w:sz w:val="20"/>
                <w:lang w:val="en-AU"/>
              </w:rPr>
              <w:t xml:space="preserve">any class of securities which you are seeking to have quoted on ASX will not have </w:t>
            </w:r>
            <w:r w:rsidR="00CE37A7" w:rsidRPr="00CE37A7">
              <w:rPr>
                <w:rFonts w:ascii="Arial Narrow" w:hAnsi="Arial Narrow"/>
                <w:color w:val="000000"/>
                <w:sz w:val="20"/>
                <w:lang w:val="en-AU"/>
              </w:rPr>
              <w:t>CDIs</w:t>
            </w:r>
            <w:r w:rsidR="00CE37A7">
              <w:rPr>
                <w:rFonts w:ascii="Arial Narrow" w:hAnsi="Arial Narrow"/>
                <w:color w:val="000000"/>
                <w:sz w:val="20"/>
                <w:lang w:val="en-AU"/>
              </w:rPr>
              <w:t xml:space="preserve"> issued over them</w:t>
            </w:r>
            <w:r w:rsidR="00CE37A7" w:rsidRPr="00CE37A7">
              <w:rPr>
                <w:rFonts w:ascii="Arial Narrow" w:hAnsi="Arial Narrow"/>
                <w:color w:val="000000"/>
                <w:sz w:val="20"/>
                <w:lang w:val="en-AU"/>
              </w:rPr>
              <w:t xml:space="preserve">, </w:t>
            </w:r>
            <w:r w:rsidR="00CE37A7">
              <w:rPr>
                <w:rFonts w:ascii="Arial Narrow" w:hAnsi="Arial Narrow"/>
                <w:color w:val="000000"/>
                <w:sz w:val="20"/>
                <w:lang w:val="en-AU"/>
              </w:rPr>
              <w:t>please</w:t>
            </w:r>
            <w:r w:rsidR="00CE37A7" w:rsidRPr="00CE37A7">
              <w:rPr>
                <w:rFonts w:ascii="Arial Narrow" w:hAnsi="Arial Narrow"/>
                <w:color w:val="000000"/>
                <w:sz w:val="20"/>
                <w:lang w:val="en-AU"/>
              </w:rPr>
              <w:t xml:space="preserve"> obtain and provide an International Securities Identification Number (ISIN) for that class</w:t>
            </w:r>
            <w:r w:rsidR="00CE37A7">
              <w:rPr>
                <w:rFonts w:ascii="Arial Narrow" w:hAnsi="Arial Narrow"/>
                <w:color w:val="000000"/>
                <w:sz w:val="20"/>
                <w:lang w:val="en-AU"/>
              </w:rPr>
              <w:t xml:space="preserve"> (</w:t>
            </w:r>
            <w:r w:rsidR="00CE37A7" w:rsidRPr="00CE37A7">
              <w:rPr>
                <w:rFonts w:ascii="Arial Narrow" w:hAnsi="Arial Narrow"/>
                <w:color w:val="000000"/>
                <w:sz w:val="20"/>
                <w:lang w:val="en-AU"/>
              </w:rPr>
              <w:t>ASX is unable to create the new ISIN for non-Australian issuers</w:t>
            </w:r>
            <w:r w:rsidR="00CE37A7">
              <w:rPr>
                <w:rFonts w:ascii="Arial Narrow" w:hAnsi="Arial Narrow"/>
                <w:color w:val="000000"/>
                <w:sz w:val="20"/>
                <w:lang w:val="en-AU"/>
              </w:rPr>
              <w:t>)</w:t>
            </w:r>
            <w:r w:rsidR="00CE37A7" w:rsidRPr="00CE37A7">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35CA9" w:rsidRPr="00835256" w:rsidRDefault="00435CA9" w:rsidP="0078319E">
            <w:pPr>
              <w:pStyle w:val="boxstyle"/>
              <w:jc w:val="left"/>
              <w:rPr>
                <w:rFonts w:ascii="Arial Narrow" w:hAnsi="Arial Narrow"/>
              </w:rPr>
            </w:pPr>
          </w:p>
        </w:tc>
      </w:tr>
    </w:tbl>
    <w:p w:rsidR="003144CA" w:rsidRPr="005405AA" w:rsidRDefault="003144CA" w:rsidP="003144CA">
      <w:pPr>
        <w:pStyle w:val="Heading4"/>
        <w:spacing w:after="120"/>
        <w:jc w:val="left"/>
        <w:rPr>
          <w:rFonts w:ascii="Arial Narrow" w:hAnsi="Arial Narrow"/>
          <w:b w:val="0"/>
        </w:rPr>
      </w:pPr>
    </w:p>
    <w:sectPr w:rsidR="003144CA" w:rsidRPr="005405AA" w:rsidSect="00101C4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851"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1D7" w:rsidRDefault="006551D7">
      <w:r>
        <w:separator/>
      </w:r>
    </w:p>
  </w:endnote>
  <w:endnote w:type="continuationSeparator" w:id="0">
    <w:p w:rsidR="006551D7" w:rsidRDefault="0065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Constant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D5" w:rsidRPr="00C174F4" w:rsidRDefault="008A17D5"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49" w:rsidRDefault="00101C49" w:rsidP="00101C49">
    <w:pPr>
      <w:pStyle w:val="GNFooter"/>
      <w:pBdr>
        <w:top w:val="single" w:sz="4" w:space="1" w:color="auto"/>
      </w:pBdr>
      <w:spacing w:before="180"/>
    </w:pPr>
    <w:r>
      <w:rPr>
        <w:rFonts w:ascii="Arial Narrow" w:hAnsi="Arial Narrow"/>
      </w:rPr>
      <w:t>ASX Listing Informati</w:t>
    </w:r>
    <w:r w:rsidR="00362E13">
      <w:rPr>
        <w:rFonts w:ascii="Arial Narrow" w:hAnsi="Arial Narrow"/>
      </w:rPr>
      <w:t>on Form and Checklist Annexure 3</w:t>
    </w:r>
    <w:r>
      <w:rPr>
        <w:rFonts w:ascii="Arial Narrow" w:hAnsi="Arial Narrow"/>
      </w:rPr>
      <w:t xml:space="preserve"> (</w:t>
    </w:r>
    <w:r w:rsidR="002A5B6C">
      <w:rPr>
        <w:rFonts w:ascii="Arial Narrow" w:hAnsi="Arial Narrow"/>
      </w:rPr>
      <w:t>0</w:t>
    </w:r>
    <w:r w:rsidR="00514D37">
      <w:rPr>
        <w:rFonts w:ascii="Arial Narrow" w:hAnsi="Arial Narrow"/>
      </w:rPr>
      <w:t>1</w:t>
    </w:r>
    <w:r>
      <w:rPr>
        <w:rFonts w:ascii="Arial Narrow" w:hAnsi="Arial Narrow"/>
      </w:rPr>
      <w:t>/</w:t>
    </w:r>
    <w:r w:rsidR="00162BCE">
      <w:rPr>
        <w:rFonts w:ascii="Arial Narrow" w:hAnsi="Arial Narrow"/>
      </w:rPr>
      <w:t>1</w:t>
    </w:r>
    <w:r w:rsidR="002A5B6C">
      <w:rPr>
        <w:rFonts w:ascii="Arial Narrow" w:hAnsi="Arial Narrow"/>
      </w:rPr>
      <w:t>2</w:t>
    </w:r>
    <w:r>
      <w:rPr>
        <w:rFonts w:ascii="Arial Narrow" w:hAnsi="Arial Narrow"/>
      </w:rPr>
      <w:t>/1</w:t>
    </w:r>
    <w:r w:rsidR="002A5B6C">
      <w:rPr>
        <w:rFonts w:ascii="Arial Narrow" w:hAnsi="Arial Narrow"/>
      </w:rPr>
      <w:t>9</w:t>
    </w:r>
    <w:r>
      <w:rPr>
        <w:rFonts w:ascii="Arial Narrow" w:hAnsi="Arial Narrow"/>
      </w:rPr>
      <w:t>)</w:t>
    </w:r>
    <w:r>
      <w:rPr>
        <w:rFonts w:ascii="Arial Narrow" w:hAnsi="Arial Narrow"/>
      </w:rPr>
      <w:tab/>
    </w:r>
    <w:r>
      <w:rPr>
        <w:rFonts w:ascii="Arial Narrow" w:hAnsi="Arial Narrow"/>
      </w:rPr>
      <w:tab/>
      <w:t xml:space="preserve">Page </w:t>
    </w: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sidR="00AC6833">
      <w:rPr>
        <w:rStyle w:val="PageNumber"/>
        <w:rFonts w:ascii="Arial Narrow" w:hAnsi="Arial Narrow"/>
        <w:noProof/>
      </w:rPr>
      <w:t>1</w:t>
    </w:r>
    <w:r>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6C" w:rsidRDefault="002A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1D7" w:rsidRDefault="006551D7">
      <w:r>
        <w:separator/>
      </w:r>
    </w:p>
  </w:footnote>
  <w:footnote w:type="continuationSeparator" w:id="0">
    <w:p w:rsidR="006551D7" w:rsidRDefault="006551D7">
      <w:r>
        <w:continuationSeparator/>
      </w:r>
    </w:p>
  </w:footnote>
  <w:footnote w:id="1">
    <w:p w:rsidR="0075267F" w:rsidRPr="00AF4322" w:rsidRDefault="0075267F" w:rsidP="001F446B">
      <w:pPr>
        <w:pStyle w:val="FootnoteText"/>
        <w:tabs>
          <w:tab w:val="left" w:pos="284"/>
        </w:tabs>
        <w:spacing w:after="60"/>
        <w:ind w:left="0" w:firstLine="0"/>
        <w:rPr>
          <w:rFonts w:ascii="Arial Narrow" w:hAnsi="Arial Narrow"/>
          <w:sz w:val="16"/>
          <w:szCs w:val="16"/>
          <w:lang w:val="en-AU"/>
        </w:rPr>
      </w:pPr>
      <w:r w:rsidRPr="00DA6F94">
        <w:rPr>
          <w:rStyle w:val="FootnoteReference"/>
          <w:rFonts w:ascii="Arial Narrow" w:hAnsi="Arial Narrow"/>
          <w:position w:val="0"/>
          <w:szCs w:val="16"/>
          <w:vertAlign w:val="superscript"/>
        </w:rPr>
        <w:footnoteRef/>
      </w:r>
      <w:r w:rsidRPr="00AF4322">
        <w:rPr>
          <w:rFonts w:ascii="Arial Narrow" w:hAnsi="Arial Narrow"/>
          <w:sz w:val="16"/>
          <w:szCs w:val="16"/>
        </w:rPr>
        <w:tab/>
        <w:t>The concise summary is not intended to be a legal treatise on the laws of the entity’s home jurisdiction or a detailed comparative analysis of those laws with the laws of Australia. For those matters where the entity’s home jurisdiction has broadly comparable laws to Australia, a statement to that effect will generally suffice.</w:t>
      </w:r>
    </w:p>
  </w:footnote>
  <w:footnote w:id="2">
    <w:p w:rsidR="009648CD" w:rsidRPr="00AF4322" w:rsidRDefault="009648CD" w:rsidP="009648CD">
      <w:pPr>
        <w:pStyle w:val="FootnoteText"/>
        <w:tabs>
          <w:tab w:val="left" w:pos="284"/>
        </w:tabs>
        <w:spacing w:after="60"/>
        <w:ind w:left="0" w:firstLine="0"/>
        <w:rPr>
          <w:rFonts w:ascii="Arial Narrow" w:hAnsi="Arial Narrow"/>
          <w:sz w:val="16"/>
          <w:szCs w:val="16"/>
          <w:lang w:val="en-AU"/>
        </w:rPr>
      </w:pPr>
      <w:r w:rsidRPr="00DA6F94">
        <w:rPr>
          <w:rStyle w:val="FootnoteReference"/>
          <w:rFonts w:ascii="Arial Narrow" w:hAnsi="Arial Narrow"/>
          <w:position w:val="0"/>
          <w:szCs w:val="16"/>
          <w:vertAlign w:val="superscript"/>
        </w:rPr>
        <w:footnoteRef/>
      </w:r>
      <w:r w:rsidRPr="00AF4322">
        <w:rPr>
          <w:rFonts w:ascii="Arial Narrow" w:hAnsi="Arial Narrow"/>
          <w:sz w:val="16"/>
          <w:szCs w:val="16"/>
        </w:rPr>
        <w:tab/>
      </w:r>
      <w:r>
        <w:rPr>
          <w:rFonts w:ascii="Arial Narrow" w:hAnsi="Arial Narrow"/>
          <w:sz w:val="16"/>
          <w:szCs w:val="16"/>
        </w:rPr>
        <w:t>See note </w:t>
      </w:r>
      <w:r>
        <w:rPr>
          <w:rFonts w:ascii="Arial Narrow" w:hAnsi="Arial Narrow"/>
          <w:sz w:val="16"/>
          <w:szCs w:val="16"/>
        </w:rPr>
        <w:fldChar w:fldCharType="begin"/>
      </w:r>
      <w:r>
        <w:rPr>
          <w:rFonts w:ascii="Arial Narrow" w:hAnsi="Arial Narrow"/>
          <w:sz w:val="16"/>
          <w:szCs w:val="16"/>
        </w:rPr>
        <w:instrText xml:space="preserve"> NOTEREF _Ref349320091 \h </w:instrText>
      </w:r>
      <w:r>
        <w:rPr>
          <w:rFonts w:ascii="Arial Narrow" w:hAnsi="Arial Narrow"/>
          <w:sz w:val="16"/>
          <w:szCs w:val="16"/>
        </w:rPr>
      </w:r>
      <w:r>
        <w:rPr>
          <w:rFonts w:ascii="Arial Narrow" w:hAnsi="Arial Narrow"/>
          <w:sz w:val="16"/>
          <w:szCs w:val="16"/>
        </w:rPr>
        <w:fldChar w:fldCharType="separate"/>
      </w:r>
      <w:r w:rsidR="005805DC">
        <w:rPr>
          <w:rFonts w:ascii="Arial Narrow" w:hAnsi="Arial Narrow"/>
          <w:sz w:val="16"/>
          <w:szCs w:val="16"/>
        </w:rPr>
        <w:t>1</w:t>
      </w:r>
      <w:r>
        <w:rPr>
          <w:rFonts w:ascii="Arial Narrow" w:hAnsi="Arial Narrow"/>
          <w:sz w:val="16"/>
          <w:szCs w:val="16"/>
        </w:rPr>
        <w:fldChar w:fldCharType="end"/>
      </w:r>
      <w:r>
        <w:rPr>
          <w:rFonts w:ascii="Arial Narrow" w:hAnsi="Arial Narrow"/>
          <w:sz w:val="16"/>
          <w:szCs w:val="16"/>
        </w:rPr>
        <w:t xml:space="preserve"> above</w:t>
      </w:r>
      <w:r w:rsidRPr="00AF4322">
        <w:rPr>
          <w:rFonts w:ascii="Arial Narrow" w:hAnsi="Arial Narrow"/>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6C" w:rsidRDefault="002A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6C" w:rsidRDefault="002A5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6C" w:rsidRDefault="002A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32AD4203"/>
    <w:multiLevelType w:val="hybridMultilevel"/>
    <w:tmpl w:val="6600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4"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C4136A"/>
    <w:multiLevelType w:val="hybridMultilevel"/>
    <w:tmpl w:val="8D44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8"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6"/>
  </w:num>
  <w:num w:numId="17">
    <w:abstractNumId w:val="18"/>
  </w:num>
  <w:num w:numId="18">
    <w:abstractNumId w:val="13"/>
  </w:num>
  <w:num w:numId="19">
    <w:abstractNumId w:val="10"/>
    <w:lvlOverride w:ilvl="0">
      <w:lvl w:ilvl="0">
        <w:start w:val="1"/>
        <w:numFmt w:val="bullet"/>
        <w:lvlText w:val=""/>
        <w:legacy w:legacy="1" w:legacySpace="0" w:legacyIndent="307"/>
        <w:lvlJc w:val="left"/>
        <w:pPr>
          <w:ind w:left="704" w:hanging="307"/>
        </w:pPr>
        <w:rPr>
          <w:rFonts w:ascii="Symbol" w:hAnsi="Symbol" w:hint="default"/>
        </w:rPr>
      </w:lvl>
    </w:lvlOverride>
  </w:num>
  <w:num w:numId="20">
    <w:abstractNumId w:val="1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31BBE"/>
    <w:rsid w:val="000378EB"/>
    <w:rsid w:val="000449B1"/>
    <w:rsid w:val="00056854"/>
    <w:rsid w:val="00056978"/>
    <w:rsid w:val="00063B46"/>
    <w:rsid w:val="0008551E"/>
    <w:rsid w:val="000A48B7"/>
    <w:rsid w:val="000B0AC6"/>
    <w:rsid w:val="000B74E3"/>
    <w:rsid w:val="000E6CC9"/>
    <w:rsid w:val="000F23B6"/>
    <w:rsid w:val="00101C49"/>
    <w:rsid w:val="00103CE8"/>
    <w:rsid w:val="00104853"/>
    <w:rsid w:val="00115F3E"/>
    <w:rsid w:val="001225DC"/>
    <w:rsid w:val="00124D06"/>
    <w:rsid w:val="00140593"/>
    <w:rsid w:val="001431A8"/>
    <w:rsid w:val="0014414B"/>
    <w:rsid w:val="00150B7D"/>
    <w:rsid w:val="00157A7A"/>
    <w:rsid w:val="00161D82"/>
    <w:rsid w:val="00162BCE"/>
    <w:rsid w:val="00165B27"/>
    <w:rsid w:val="00170EAA"/>
    <w:rsid w:val="00184A4C"/>
    <w:rsid w:val="001B4D93"/>
    <w:rsid w:val="001B7DE0"/>
    <w:rsid w:val="001C463B"/>
    <w:rsid w:val="001C5F6F"/>
    <w:rsid w:val="001D0B5A"/>
    <w:rsid w:val="001D5525"/>
    <w:rsid w:val="001E23BD"/>
    <w:rsid w:val="001F34A4"/>
    <w:rsid w:val="001F446B"/>
    <w:rsid w:val="00207623"/>
    <w:rsid w:val="00220950"/>
    <w:rsid w:val="002347A3"/>
    <w:rsid w:val="00234C05"/>
    <w:rsid w:val="002403B7"/>
    <w:rsid w:val="002424F5"/>
    <w:rsid w:val="0024727D"/>
    <w:rsid w:val="00264DA4"/>
    <w:rsid w:val="0029131D"/>
    <w:rsid w:val="002A542A"/>
    <w:rsid w:val="002A5B6C"/>
    <w:rsid w:val="002A6DFA"/>
    <w:rsid w:val="002C20C8"/>
    <w:rsid w:val="002D1477"/>
    <w:rsid w:val="002D374B"/>
    <w:rsid w:val="002D5F0A"/>
    <w:rsid w:val="002E08EE"/>
    <w:rsid w:val="002E451F"/>
    <w:rsid w:val="002F5598"/>
    <w:rsid w:val="00314175"/>
    <w:rsid w:val="003144CA"/>
    <w:rsid w:val="00346820"/>
    <w:rsid w:val="00346ACE"/>
    <w:rsid w:val="003516E1"/>
    <w:rsid w:val="00355D5E"/>
    <w:rsid w:val="00362E13"/>
    <w:rsid w:val="00366100"/>
    <w:rsid w:val="0038678B"/>
    <w:rsid w:val="003A2A8B"/>
    <w:rsid w:val="003A6519"/>
    <w:rsid w:val="003C21D5"/>
    <w:rsid w:val="003D09C9"/>
    <w:rsid w:val="003D1092"/>
    <w:rsid w:val="003D2C10"/>
    <w:rsid w:val="003E435B"/>
    <w:rsid w:val="00435CA9"/>
    <w:rsid w:val="00444167"/>
    <w:rsid w:val="00446DD9"/>
    <w:rsid w:val="00474ED5"/>
    <w:rsid w:val="00481349"/>
    <w:rsid w:val="00487E15"/>
    <w:rsid w:val="0049158C"/>
    <w:rsid w:val="004A53A2"/>
    <w:rsid w:val="004A7EC4"/>
    <w:rsid w:val="004B2CDC"/>
    <w:rsid w:val="004B7606"/>
    <w:rsid w:val="004F091C"/>
    <w:rsid w:val="004F346E"/>
    <w:rsid w:val="004F7BB2"/>
    <w:rsid w:val="005078E9"/>
    <w:rsid w:val="00510039"/>
    <w:rsid w:val="00514D37"/>
    <w:rsid w:val="00530577"/>
    <w:rsid w:val="0053531D"/>
    <w:rsid w:val="00554286"/>
    <w:rsid w:val="005805DC"/>
    <w:rsid w:val="005869E8"/>
    <w:rsid w:val="005A5A80"/>
    <w:rsid w:val="005F2176"/>
    <w:rsid w:val="00600833"/>
    <w:rsid w:val="00602EDA"/>
    <w:rsid w:val="00612DC7"/>
    <w:rsid w:val="00613E14"/>
    <w:rsid w:val="0061655B"/>
    <w:rsid w:val="006218AE"/>
    <w:rsid w:val="00621975"/>
    <w:rsid w:val="00631354"/>
    <w:rsid w:val="006367B0"/>
    <w:rsid w:val="00645AA6"/>
    <w:rsid w:val="006551D7"/>
    <w:rsid w:val="006651DE"/>
    <w:rsid w:val="006656F2"/>
    <w:rsid w:val="00665995"/>
    <w:rsid w:val="00666C85"/>
    <w:rsid w:val="0068325B"/>
    <w:rsid w:val="006853D9"/>
    <w:rsid w:val="006A0044"/>
    <w:rsid w:val="006A168F"/>
    <w:rsid w:val="006B2686"/>
    <w:rsid w:val="006D284B"/>
    <w:rsid w:val="006D57BB"/>
    <w:rsid w:val="006D5AC7"/>
    <w:rsid w:val="006D6729"/>
    <w:rsid w:val="006E10AB"/>
    <w:rsid w:val="006E14BD"/>
    <w:rsid w:val="00702A1D"/>
    <w:rsid w:val="00704E40"/>
    <w:rsid w:val="0070776B"/>
    <w:rsid w:val="00707950"/>
    <w:rsid w:val="007104BD"/>
    <w:rsid w:val="0071186A"/>
    <w:rsid w:val="00713BF7"/>
    <w:rsid w:val="00714F58"/>
    <w:rsid w:val="007177D9"/>
    <w:rsid w:val="007229A8"/>
    <w:rsid w:val="007363DF"/>
    <w:rsid w:val="00744D25"/>
    <w:rsid w:val="00746169"/>
    <w:rsid w:val="00750227"/>
    <w:rsid w:val="0075267F"/>
    <w:rsid w:val="00753CBC"/>
    <w:rsid w:val="0076492F"/>
    <w:rsid w:val="00771F3A"/>
    <w:rsid w:val="007721E6"/>
    <w:rsid w:val="00777B8C"/>
    <w:rsid w:val="0078319E"/>
    <w:rsid w:val="00792895"/>
    <w:rsid w:val="0079544B"/>
    <w:rsid w:val="007A02D3"/>
    <w:rsid w:val="007B19DD"/>
    <w:rsid w:val="008031EA"/>
    <w:rsid w:val="00827BE9"/>
    <w:rsid w:val="0083466F"/>
    <w:rsid w:val="00834912"/>
    <w:rsid w:val="00834F94"/>
    <w:rsid w:val="008465DF"/>
    <w:rsid w:val="00867940"/>
    <w:rsid w:val="00885F27"/>
    <w:rsid w:val="008912D9"/>
    <w:rsid w:val="00894E1A"/>
    <w:rsid w:val="008A17D5"/>
    <w:rsid w:val="008D34BE"/>
    <w:rsid w:val="008D5CE4"/>
    <w:rsid w:val="008F0683"/>
    <w:rsid w:val="008F57AB"/>
    <w:rsid w:val="00903B17"/>
    <w:rsid w:val="00906E5B"/>
    <w:rsid w:val="009113B8"/>
    <w:rsid w:val="0091534C"/>
    <w:rsid w:val="00933834"/>
    <w:rsid w:val="00943200"/>
    <w:rsid w:val="00947A7C"/>
    <w:rsid w:val="00950F8E"/>
    <w:rsid w:val="00960E9B"/>
    <w:rsid w:val="009648CD"/>
    <w:rsid w:val="00977075"/>
    <w:rsid w:val="00982C29"/>
    <w:rsid w:val="00990712"/>
    <w:rsid w:val="009D760C"/>
    <w:rsid w:val="00A03281"/>
    <w:rsid w:val="00A14B19"/>
    <w:rsid w:val="00A15088"/>
    <w:rsid w:val="00A169DE"/>
    <w:rsid w:val="00A23F94"/>
    <w:rsid w:val="00A305B6"/>
    <w:rsid w:val="00A44E39"/>
    <w:rsid w:val="00A47585"/>
    <w:rsid w:val="00A53360"/>
    <w:rsid w:val="00A564B0"/>
    <w:rsid w:val="00A602D0"/>
    <w:rsid w:val="00A66AB0"/>
    <w:rsid w:val="00A74A02"/>
    <w:rsid w:val="00A750E2"/>
    <w:rsid w:val="00A831CB"/>
    <w:rsid w:val="00A97AF2"/>
    <w:rsid w:val="00AA5FE4"/>
    <w:rsid w:val="00AA669D"/>
    <w:rsid w:val="00AB4CB5"/>
    <w:rsid w:val="00AC6833"/>
    <w:rsid w:val="00AE6552"/>
    <w:rsid w:val="00AF4322"/>
    <w:rsid w:val="00AF7863"/>
    <w:rsid w:val="00B04E17"/>
    <w:rsid w:val="00B15E54"/>
    <w:rsid w:val="00B25A9D"/>
    <w:rsid w:val="00B36CD4"/>
    <w:rsid w:val="00B43E31"/>
    <w:rsid w:val="00B556F7"/>
    <w:rsid w:val="00B60813"/>
    <w:rsid w:val="00B9331B"/>
    <w:rsid w:val="00B97109"/>
    <w:rsid w:val="00BA29E2"/>
    <w:rsid w:val="00BA37C2"/>
    <w:rsid w:val="00BA6D86"/>
    <w:rsid w:val="00BC2DE1"/>
    <w:rsid w:val="00BC329E"/>
    <w:rsid w:val="00BD7577"/>
    <w:rsid w:val="00BE2B54"/>
    <w:rsid w:val="00BE7317"/>
    <w:rsid w:val="00C03A96"/>
    <w:rsid w:val="00C0582B"/>
    <w:rsid w:val="00C174F4"/>
    <w:rsid w:val="00C20B63"/>
    <w:rsid w:val="00C41E3F"/>
    <w:rsid w:val="00C429C8"/>
    <w:rsid w:val="00C44DE9"/>
    <w:rsid w:val="00C525C2"/>
    <w:rsid w:val="00C7414D"/>
    <w:rsid w:val="00C77BAA"/>
    <w:rsid w:val="00C81454"/>
    <w:rsid w:val="00C81920"/>
    <w:rsid w:val="00C9214E"/>
    <w:rsid w:val="00C97EAF"/>
    <w:rsid w:val="00CA4F8B"/>
    <w:rsid w:val="00CA706F"/>
    <w:rsid w:val="00CB69C4"/>
    <w:rsid w:val="00CB7761"/>
    <w:rsid w:val="00CD7BB3"/>
    <w:rsid w:val="00CE37A7"/>
    <w:rsid w:val="00CF29F5"/>
    <w:rsid w:val="00D032C5"/>
    <w:rsid w:val="00D145A3"/>
    <w:rsid w:val="00D174A8"/>
    <w:rsid w:val="00D2717B"/>
    <w:rsid w:val="00D40162"/>
    <w:rsid w:val="00D433E3"/>
    <w:rsid w:val="00D4561A"/>
    <w:rsid w:val="00D47578"/>
    <w:rsid w:val="00D6755D"/>
    <w:rsid w:val="00D7362E"/>
    <w:rsid w:val="00D87B03"/>
    <w:rsid w:val="00D928A9"/>
    <w:rsid w:val="00DA6F94"/>
    <w:rsid w:val="00DB5513"/>
    <w:rsid w:val="00DD1724"/>
    <w:rsid w:val="00E102B1"/>
    <w:rsid w:val="00E1073E"/>
    <w:rsid w:val="00E107DD"/>
    <w:rsid w:val="00E55862"/>
    <w:rsid w:val="00E56332"/>
    <w:rsid w:val="00E60764"/>
    <w:rsid w:val="00E84847"/>
    <w:rsid w:val="00E8489F"/>
    <w:rsid w:val="00EA1248"/>
    <w:rsid w:val="00EC1F39"/>
    <w:rsid w:val="00EC6288"/>
    <w:rsid w:val="00EF5C5B"/>
    <w:rsid w:val="00F000C8"/>
    <w:rsid w:val="00F005C3"/>
    <w:rsid w:val="00F010CC"/>
    <w:rsid w:val="00F11394"/>
    <w:rsid w:val="00F17805"/>
    <w:rsid w:val="00F54BE7"/>
    <w:rsid w:val="00F56159"/>
    <w:rsid w:val="00F56AA3"/>
    <w:rsid w:val="00F56CB7"/>
    <w:rsid w:val="00F6184F"/>
    <w:rsid w:val="00F66FAB"/>
    <w:rsid w:val="00F67029"/>
    <w:rsid w:val="00F72D67"/>
    <w:rsid w:val="00F76FF3"/>
    <w:rsid w:val="00F84125"/>
    <w:rsid w:val="00F846CA"/>
    <w:rsid w:val="00FA0103"/>
    <w:rsid w:val="00FB4D28"/>
    <w:rsid w:val="00FB5721"/>
    <w:rsid w:val="00FB7B07"/>
    <w:rsid w:val="00FD1126"/>
    <w:rsid w:val="00FD1188"/>
    <w:rsid w:val="00FE21F2"/>
    <w:rsid w:val="00FF1ED6"/>
    <w:rsid w:val="00FF3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5557734"/>
  <w15:chartTrackingRefBased/>
  <w15:docId w15:val="{1E95C07C-5D0E-49B9-86A6-1252449E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link w:val="Heading1Char"/>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link w:val="FootnoteText"/>
    <w:rsid w:val="00AF4322"/>
    <w:rPr>
      <w:rFonts w:ascii="ClassGarmnd BT" w:hAnsi="ClassGarmnd BT"/>
      <w:sz w:val="22"/>
      <w:lang w:val="en-GB" w:eastAsia="en-US"/>
    </w:rPr>
  </w:style>
  <w:style w:type="character" w:customStyle="1" w:styleId="Heading1Char">
    <w:name w:val="Heading 1 Char"/>
    <w:link w:val="Heading1"/>
    <w:rsid w:val="006D57BB"/>
    <w:rPr>
      <w:rFonts w:ascii="Zurich Cn BT" w:hAnsi="Zurich Cn BT"/>
      <w:b/>
      <w:sz w:val="48"/>
      <w:lang w:val="en-GB" w:eastAsia="en-US"/>
    </w:rPr>
  </w:style>
  <w:style w:type="paragraph" w:styleId="ListParagraph">
    <w:name w:val="List Paragraph"/>
    <w:basedOn w:val="Normal"/>
    <w:uiPriority w:val="34"/>
    <w:qFormat/>
    <w:rsid w:val="00F67029"/>
    <w:pPr>
      <w:overflowPunct/>
      <w:autoSpaceDE/>
      <w:autoSpaceDN/>
      <w:adjustRightInd/>
      <w:ind w:left="720" w:firstLine="0"/>
      <w:jc w:val="left"/>
      <w:textAlignment w:val="auto"/>
    </w:pPr>
    <w:rPr>
      <w:rFonts w:ascii="Times New Roman" w:hAnsi="Times New Roman"/>
      <w:sz w:val="24"/>
      <w:szCs w:val="24"/>
      <w:lang w:val="en-AU" w:eastAsia="en-AU"/>
    </w:rPr>
  </w:style>
  <w:style w:type="paragraph" w:customStyle="1" w:styleId="GNFooter">
    <w:name w:val="GN Footer"/>
    <w:basedOn w:val="Normal"/>
    <w:rsid w:val="00101C49"/>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unhideWhenUsed/>
    <w:rsid w:val="0010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6989">
      <w:bodyDiv w:val="1"/>
      <w:marLeft w:val="0"/>
      <w:marRight w:val="0"/>
      <w:marTop w:val="0"/>
      <w:marBottom w:val="0"/>
      <w:divBdr>
        <w:top w:val="none" w:sz="0" w:space="0" w:color="auto"/>
        <w:left w:val="none" w:sz="0" w:space="0" w:color="auto"/>
        <w:bottom w:val="none" w:sz="0" w:space="0" w:color="auto"/>
        <w:right w:val="none" w:sz="0" w:space="0" w:color="auto"/>
      </w:divBdr>
    </w:div>
    <w:div w:id="6117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89D8-DB1C-42B1-AB05-5D11CB54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792</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Kevin Lewis</cp:lastModifiedBy>
  <cp:revision>12</cp:revision>
  <cp:lastPrinted>2011-12-14T04:36:00Z</cp:lastPrinted>
  <dcterms:created xsi:type="dcterms:W3CDTF">2015-09-24T06:27:00Z</dcterms:created>
  <dcterms:modified xsi:type="dcterms:W3CDTF">2019-11-26T21:24:00Z</dcterms:modified>
</cp:coreProperties>
</file>