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27D" w:rsidRPr="007363DF" w:rsidRDefault="00923465" w:rsidP="004B2CDC">
      <w:pPr>
        <w:pStyle w:val="Heading1"/>
        <w:spacing w:after="240"/>
        <w:ind w:left="0" w:firstLine="0"/>
        <w:rPr>
          <w:rFonts w:ascii="Arial Narrow" w:hAnsi="Arial Narrow"/>
          <w:sz w:val="32"/>
          <w:szCs w:val="32"/>
        </w:rPr>
      </w:pPr>
      <w:r w:rsidRPr="00AF4322">
        <w:rPr>
          <w:rFonts w:ascii="Arial Narrow" w:hAnsi="Arial Narrow"/>
        </w:rPr>
        <w:t>Information Form and Checklist</w:t>
      </w:r>
      <w:r>
        <w:rPr>
          <w:rFonts w:ascii="Arial Narrow" w:hAnsi="Arial Narrow"/>
        </w:rPr>
        <w:br/>
        <w:t xml:space="preserve">Annexure </w:t>
      </w:r>
      <w:r w:rsidR="006E7350">
        <w:rPr>
          <w:rFonts w:ascii="Arial Narrow" w:hAnsi="Arial Narrow"/>
        </w:rPr>
        <w:t>1</w:t>
      </w:r>
      <w:r>
        <w:rPr>
          <w:rFonts w:ascii="Arial Narrow" w:hAnsi="Arial Narrow"/>
        </w:rPr>
        <w:t xml:space="preserve"> (</w:t>
      </w:r>
      <w:r w:rsidR="006C2BB5">
        <w:rPr>
          <w:rFonts w:ascii="Arial Narrow" w:hAnsi="Arial Narrow"/>
        </w:rPr>
        <w:t>Entities that do not have a Primary Listing on the NZX Main Board</w:t>
      </w:r>
      <w:r>
        <w:rPr>
          <w:rFonts w:ascii="Arial Narrow" w:hAnsi="Arial Narrow"/>
        </w:rPr>
        <w:t>)</w:t>
      </w:r>
    </w:p>
    <w:tbl>
      <w:tblPr>
        <w:tblW w:w="9072" w:type="dxa"/>
        <w:tblLayout w:type="fixed"/>
        <w:tblCellMar>
          <w:left w:w="0" w:type="dxa"/>
          <w:right w:w="0" w:type="dxa"/>
        </w:tblCellMar>
        <w:tblLook w:val="0000" w:firstRow="0" w:lastRow="0" w:firstColumn="0" w:lastColumn="0" w:noHBand="0" w:noVBand="0"/>
      </w:tblPr>
      <w:tblGrid>
        <w:gridCol w:w="5387"/>
        <w:gridCol w:w="142"/>
        <w:gridCol w:w="3543"/>
      </w:tblGrid>
      <w:tr w:rsidR="004B2CDC" w:rsidRPr="007363DF" w:rsidTr="00753CBC">
        <w:tc>
          <w:tcPr>
            <w:tcW w:w="5387" w:type="dxa"/>
            <w:tcBorders>
              <w:top w:val="nil"/>
              <w:left w:val="nil"/>
              <w:bottom w:val="nil"/>
              <w:right w:val="nil"/>
            </w:tcBorders>
            <w:vAlign w:val="center"/>
          </w:tcPr>
          <w:p w:rsidR="004B2CDC" w:rsidRPr="007363DF" w:rsidRDefault="004B2CDC" w:rsidP="00753CBC">
            <w:pPr>
              <w:pStyle w:val="Caption-BOX"/>
              <w:rPr>
                <w:rFonts w:ascii="Arial Narrow" w:hAnsi="Arial Narrow"/>
              </w:rPr>
            </w:pPr>
            <w:r w:rsidRPr="007363DF">
              <w:rPr>
                <w:rFonts w:ascii="Arial Narrow" w:hAnsi="Arial Narrow"/>
              </w:rPr>
              <w:t>Name of entity</w:t>
            </w:r>
          </w:p>
        </w:tc>
        <w:tc>
          <w:tcPr>
            <w:tcW w:w="142" w:type="dxa"/>
            <w:tcBorders>
              <w:top w:val="nil"/>
              <w:left w:val="nil"/>
              <w:bottom w:val="nil"/>
              <w:right w:val="nil"/>
            </w:tcBorders>
            <w:vAlign w:val="center"/>
          </w:tcPr>
          <w:p w:rsidR="004B2CDC" w:rsidRPr="007363DF" w:rsidRDefault="004B2CDC" w:rsidP="00753CBC">
            <w:pPr>
              <w:pStyle w:val="Caption-BOX"/>
              <w:rPr>
                <w:rFonts w:ascii="Arial Narrow" w:hAnsi="Arial Narrow"/>
              </w:rPr>
            </w:pPr>
          </w:p>
        </w:tc>
        <w:tc>
          <w:tcPr>
            <w:tcW w:w="3543" w:type="dxa"/>
            <w:tcBorders>
              <w:top w:val="nil"/>
              <w:left w:val="nil"/>
              <w:bottom w:val="nil"/>
              <w:right w:val="nil"/>
            </w:tcBorders>
            <w:vAlign w:val="center"/>
          </w:tcPr>
          <w:p w:rsidR="004B2CDC" w:rsidRPr="007363DF" w:rsidRDefault="004B2CDC" w:rsidP="00753CBC">
            <w:pPr>
              <w:pStyle w:val="Caption-BOX"/>
              <w:rPr>
                <w:rFonts w:ascii="Arial Narrow" w:hAnsi="Arial Narrow"/>
              </w:rPr>
            </w:pPr>
            <w:r w:rsidRPr="007363DF">
              <w:rPr>
                <w:rFonts w:ascii="Arial Narrow" w:hAnsi="Arial Narrow"/>
              </w:rPr>
              <w:t>ABN/</w:t>
            </w:r>
            <w:bookmarkStart w:id="0" w:name="_GoBack"/>
            <w:r w:rsidR="00C95E5F">
              <w:rPr>
                <w:rFonts w:ascii="Arial Narrow" w:hAnsi="Arial Narrow"/>
              </w:rPr>
              <w:t>ACN/</w:t>
            </w:r>
            <w:bookmarkEnd w:id="0"/>
            <w:r w:rsidRPr="007363DF">
              <w:rPr>
                <w:rFonts w:ascii="Arial Narrow" w:hAnsi="Arial Narrow"/>
              </w:rPr>
              <w:t>ARBN/ARSN</w:t>
            </w:r>
          </w:p>
        </w:tc>
      </w:tr>
      <w:tr w:rsidR="004B2CDC" w:rsidRPr="007363DF" w:rsidTr="00753CBC">
        <w:trPr>
          <w:trHeight w:val="400"/>
        </w:trPr>
        <w:tc>
          <w:tcPr>
            <w:tcW w:w="5387" w:type="dxa"/>
            <w:tcBorders>
              <w:top w:val="single" w:sz="6" w:space="0" w:color="auto"/>
              <w:left w:val="single" w:sz="6" w:space="0" w:color="auto"/>
              <w:bottom w:val="single" w:sz="6" w:space="0" w:color="auto"/>
              <w:right w:val="single" w:sz="6" w:space="0" w:color="auto"/>
            </w:tcBorders>
            <w:vAlign w:val="center"/>
          </w:tcPr>
          <w:p w:rsidR="004B2CDC" w:rsidRPr="007363DF" w:rsidRDefault="004B2CDC" w:rsidP="00753CBC">
            <w:pPr>
              <w:spacing w:before="120" w:after="120"/>
              <w:ind w:left="142" w:firstLine="0"/>
              <w:jc w:val="left"/>
              <w:rPr>
                <w:rFonts w:ascii="Arial Narrow" w:hAnsi="Arial Narrow"/>
                <w:b/>
              </w:rPr>
            </w:pPr>
          </w:p>
        </w:tc>
        <w:tc>
          <w:tcPr>
            <w:tcW w:w="142" w:type="dxa"/>
            <w:tcBorders>
              <w:top w:val="nil"/>
              <w:left w:val="nil"/>
              <w:bottom w:val="nil"/>
              <w:right w:val="nil"/>
            </w:tcBorders>
            <w:vAlign w:val="center"/>
          </w:tcPr>
          <w:p w:rsidR="004B2CDC" w:rsidRPr="007363DF" w:rsidRDefault="004B2CDC" w:rsidP="00753CBC">
            <w:pPr>
              <w:spacing w:before="120" w:after="120"/>
              <w:ind w:left="0" w:firstLine="0"/>
              <w:jc w:val="left"/>
              <w:rPr>
                <w:rFonts w:ascii="Arial Narrow" w:hAnsi="Arial Narrow"/>
              </w:rPr>
            </w:pPr>
          </w:p>
        </w:tc>
        <w:tc>
          <w:tcPr>
            <w:tcW w:w="3543" w:type="dxa"/>
            <w:tcBorders>
              <w:top w:val="single" w:sz="6" w:space="0" w:color="auto"/>
              <w:left w:val="single" w:sz="6" w:space="0" w:color="auto"/>
              <w:bottom w:val="single" w:sz="6" w:space="0" w:color="auto"/>
              <w:right w:val="single" w:sz="6" w:space="0" w:color="auto"/>
            </w:tcBorders>
            <w:vAlign w:val="center"/>
          </w:tcPr>
          <w:p w:rsidR="004B2CDC" w:rsidRPr="007363DF" w:rsidRDefault="004B2CDC" w:rsidP="00753CBC">
            <w:pPr>
              <w:spacing w:before="120" w:after="120"/>
              <w:ind w:left="141" w:firstLine="0"/>
              <w:jc w:val="left"/>
              <w:rPr>
                <w:rFonts w:ascii="Arial Narrow" w:hAnsi="Arial Narrow"/>
                <w:b/>
              </w:rPr>
            </w:pPr>
          </w:p>
        </w:tc>
      </w:tr>
    </w:tbl>
    <w:p w:rsidR="00923465" w:rsidRDefault="00923465" w:rsidP="00923465">
      <w:pPr>
        <w:spacing w:before="240" w:after="240"/>
        <w:ind w:left="0" w:firstLine="0"/>
        <w:jc w:val="left"/>
        <w:rPr>
          <w:rFonts w:ascii="Arial Narrow" w:hAnsi="Arial Narrow"/>
          <w:b/>
        </w:rPr>
      </w:pPr>
      <w:r>
        <w:rPr>
          <w:rFonts w:ascii="Arial Narrow" w:hAnsi="Arial Narrow"/>
          <w:b/>
        </w:rPr>
        <w:t>This Annexure forms part of the Information Form and Checklist supplied by the entity named above to support its application for admission to the official list of ASX Limited (ASX) as an ASX Foreign Exempt Listing.</w:t>
      </w:r>
    </w:p>
    <w:p w:rsidR="00665208" w:rsidRDefault="00665208" w:rsidP="00665208">
      <w:pPr>
        <w:pStyle w:val="Heading2"/>
        <w:spacing w:after="240"/>
        <w:jc w:val="left"/>
        <w:rPr>
          <w:rFonts w:ascii="Arial Narrow" w:hAnsi="Arial Narrow"/>
          <w:b w:val="0"/>
          <w:i/>
          <w:color w:val="000000"/>
          <w:sz w:val="18"/>
        </w:rPr>
      </w:pPr>
      <w:r w:rsidRPr="00DF169C">
        <w:rPr>
          <w:rFonts w:ascii="Arial Narrow" w:hAnsi="Arial Narrow"/>
          <w:i/>
          <w:color w:val="000000"/>
          <w:sz w:val="18"/>
        </w:rPr>
        <w:t>Instructions:</w:t>
      </w:r>
      <w:r>
        <w:rPr>
          <w:rFonts w:ascii="Arial Narrow" w:hAnsi="Arial Narrow"/>
          <w:b w:val="0"/>
          <w:i/>
          <w:color w:val="000000"/>
          <w:sz w:val="18"/>
        </w:rPr>
        <w:t xml:space="preserve"> p</w:t>
      </w:r>
      <w:r w:rsidRPr="007F6CDF">
        <w:rPr>
          <w:rFonts w:ascii="Arial Narrow" w:hAnsi="Arial Narrow"/>
          <w:b w:val="0"/>
          <w:i/>
          <w:color w:val="000000"/>
          <w:sz w:val="18"/>
        </w:rPr>
        <w:t>lease complete each applicable item</w:t>
      </w:r>
      <w:r>
        <w:rPr>
          <w:rFonts w:ascii="Arial Narrow" w:hAnsi="Arial Narrow"/>
          <w:b w:val="0"/>
          <w:i/>
          <w:color w:val="000000"/>
          <w:sz w:val="18"/>
        </w:rPr>
        <w:t xml:space="preserve"> below</w:t>
      </w:r>
      <w:r w:rsidRPr="007F6CDF">
        <w:rPr>
          <w:rFonts w:ascii="Arial Narrow" w:hAnsi="Arial Narrow"/>
          <w:b w:val="0"/>
          <w:i/>
          <w:color w:val="000000"/>
          <w:sz w:val="18"/>
        </w:rPr>
        <w:t xml:space="preserve">. If an item is not applicable, please </w:t>
      </w:r>
      <w:r w:rsidRPr="007F6CDF">
        <w:rPr>
          <w:rFonts w:ascii="Arial Narrow" w:hAnsi="Arial Narrow"/>
          <w:b w:val="0"/>
          <w:i/>
          <w:sz w:val="18"/>
        </w:rPr>
        <w:t>mark it as “N/A”</w:t>
      </w:r>
      <w:r w:rsidRPr="007F6CDF">
        <w:rPr>
          <w:rFonts w:ascii="Arial Narrow" w:hAnsi="Arial Narrow"/>
          <w:b w:val="0"/>
          <w:i/>
          <w:color w:val="000000"/>
          <w:sz w:val="18"/>
        </w:rPr>
        <w:t>.</w:t>
      </w:r>
    </w:p>
    <w:tbl>
      <w:tblPr>
        <w:tblW w:w="9073" w:type="dxa"/>
        <w:tblLayout w:type="fixed"/>
        <w:tblCellMar>
          <w:left w:w="0" w:type="dxa"/>
          <w:right w:w="0" w:type="dxa"/>
        </w:tblCellMar>
        <w:tblLook w:val="0000" w:firstRow="0" w:lastRow="0" w:firstColumn="0" w:lastColumn="0" w:noHBand="0" w:noVBand="0"/>
      </w:tblPr>
      <w:tblGrid>
        <w:gridCol w:w="284"/>
        <w:gridCol w:w="5670"/>
        <w:gridCol w:w="3119"/>
      </w:tblGrid>
      <w:tr w:rsidR="006C2BB5" w:rsidRPr="00E87DBE" w:rsidTr="00B73E9A">
        <w:trPr>
          <w:cantSplit/>
          <w:tblHeader/>
        </w:trPr>
        <w:tc>
          <w:tcPr>
            <w:tcW w:w="284" w:type="dxa"/>
            <w:tcBorders>
              <w:top w:val="nil"/>
              <w:left w:val="nil"/>
              <w:bottom w:val="nil"/>
              <w:right w:val="nil"/>
            </w:tcBorders>
          </w:tcPr>
          <w:p w:rsidR="006C2BB5" w:rsidRPr="00E87DBE" w:rsidRDefault="006C2BB5" w:rsidP="006C2BB5">
            <w:pPr>
              <w:tabs>
                <w:tab w:val="left" w:pos="150"/>
              </w:tabs>
              <w:ind w:left="0" w:firstLine="0"/>
              <w:jc w:val="left"/>
              <w:rPr>
                <w:rFonts w:ascii="Arial Narrow" w:hAnsi="Arial Narrow"/>
                <w:color w:val="000000"/>
                <w:sz w:val="20"/>
                <w:lang w:val="en-AU"/>
              </w:rPr>
            </w:pPr>
            <w:r w:rsidRPr="00CE377C">
              <w:rPr>
                <w:rFonts w:ascii="Arial Narrow" w:hAnsi="Arial Narrow"/>
                <w:sz w:val="20"/>
              </w:rPr>
              <w:t>N</w:t>
            </w:r>
            <w:r w:rsidRPr="00CE377C">
              <w:rPr>
                <w:rFonts w:ascii="Arial Narrow" w:hAnsi="Arial Narrow"/>
                <w:sz w:val="20"/>
                <w:vertAlign w:val="superscript"/>
              </w:rPr>
              <w:t>o</w:t>
            </w:r>
          </w:p>
        </w:tc>
        <w:tc>
          <w:tcPr>
            <w:tcW w:w="5670" w:type="dxa"/>
            <w:tcBorders>
              <w:top w:val="nil"/>
              <w:left w:val="nil"/>
              <w:bottom w:val="nil"/>
            </w:tcBorders>
            <w:tcMar>
              <w:right w:w="85" w:type="dxa"/>
            </w:tcMar>
          </w:tcPr>
          <w:p w:rsidR="006C2BB5" w:rsidRDefault="006C2BB5" w:rsidP="005C54C2">
            <w:pPr>
              <w:ind w:left="0" w:firstLine="0"/>
              <w:jc w:val="left"/>
              <w:rPr>
                <w:rFonts w:ascii="Arial Narrow" w:hAnsi="Arial Narrow"/>
                <w:color w:val="000000"/>
                <w:sz w:val="20"/>
                <w:lang w:val="en-AU"/>
              </w:rPr>
            </w:pPr>
            <w:r w:rsidRPr="00CE377C">
              <w:rPr>
                <w:rFonts w:ascii="Arial Narrow" w:hAnsi="Arial Narrow"/>
                <w:sz w:val="20"/>
              </w:rPr>
              <w:t>Item</w:t>
            </w:r>
          </w:p>
        </w:tc>
        <w:tc>
          <w:tcPr>
            <w:tcW w:w="3119" w:type="dxa"/>
            <w:tcMar>
              <w:left w:w="0" w:type="dxa"/>
              <w:right w:w="0" w:type="dxa"/>
            </w:tcMar>
          </w:tcPr>
          <w:p w:rsidR="006C2BB5" w:rsidRPr="00E87DBE" w:rsidRDefault="006C2BB5" w:rsidP="00E87DBE">
            <w:pPr>
              <w:ind w:left="0" w:firstLine="0"/>
              <w:jc w:val="left"/>
              <w:rPr>
                <w:rFonts w:ascii="Arial Narrow" w:hAnsi="Arial Narrow"/>
                <w:color w:val="000000"/>
                <w:sz w:val="20"/>
                <w:lang w:val="en-AU"/>
              </w:rPr>
            </w:pPr>
            <w:r w:rsidRPr="00CE377C">
              <w:rPr>
                <w:rFonts w:ascii="Arial Narrow" w:hAnsi="Arial Narrow"/>
                <w:sz w:val="20"/>
              </w:rPr>
              <w:t>Location/Confirmation</w:t>
            </w:r>
          </w:p>
        </w:tc>
      </w:tr>
      <w:tr w:rsidR="00B73E9A" w:rsidRPr="00AF4322" w:rsidTr="00A43EF8">
        <w:trPr>
          <w:cantSplit/>
        </w:trPr>
        <w:tc>
          <w:tcPr>
            <w:tcW w:w="9073" w:type="dxa"/>
            <w:gridSpan w:val="3"/>
            <w:tcBorders>
              <w:top w:val="nil"/>
              <w:left w:val="nil"/>
              <w:bottom w:val="nil"/>
            </w:tcBorders>
            <w:tcMar>
              <w:left w:w="0" w:type="dxa"/>
              <w:right w:w="0" w:type="dxa"/>
            </w:tcMar>
          </w:tcPr>
          <w:p w:rsidR="00B73E9A" w:rsidRPr="00AF4322" w:rsidRDefault="00B73E9A" w:rsidP="00B73E9A">
            <w:pPr>
              <w:pStyle w:val="Heading4"/>
              <w:keepNext/>
              <w:spacing w:before="240" w:after="240"/>
              <w:jc w:val="left"/>
              <w:rPr>
                <w:rFonts w:ascii="Arial Narrow" w:hAnsi="Arial Narrow"/>
              </w:rPr>
            </w:pPr>
            <w:r>
              <w:rPr>
                <w:rFonts w:ascii="Arial Narrow" w:hAnsi="Arial Narrow"/>
              </w:rPr>
              <w:t>All entities</w:t>
            </w:r>
          </w:p>
        </w:tc>
      </w:tr>
      <w:tr w:rsidR="00B73E9A" w:rsidRPr="00E87DBE" w:rsidTr="00A43EF8">
        <w:trPr>
          <w:cantSplit/>
        </w:trPr>
        <w:tc>
          <w:tcPr>
            <w:tcW w:w="284" w:type="dxa"/>
            <w:tcBorders>
              <w:top w:val="nil"/>
              <w:left w:val="nil"/>
              <w:bottom w:val="nil"/>
              <w:right w:val="nil"/>
            </w:tcBorders>
          </w:tcPr>
          <w:p w:rsidR="00B73E9A" w:rsidRPr="00E87DBE" w:rsidRDefault="00B73E9A" w:rsidP="00A43EF8">
            <w:pPr>
              <w:numPr>
                <w:ilvl w:val="0"/>
                <w:numId w:val="15"/>
              </w:numPr>
              <w:tabs>
                <w:tab w:val="left" w:pos="150"/>
              </w:tabs>
              <w:ind w:left="0" w:firstLine="0"/>
              <w:jc w:val="left"/>
              <w:rPr>
                <w:rFonts w:ascii="Arial Narrow" w:hAnsi="Arial Narrow"/>
                <w:color w:val="000000"/>
                <w:sz w:val="20"/>
                <w:lang w:val="en-AU"/>
              </w:rPr>
            </w:pPr>
          </w:p>
        </w:tc>
        <w:tc>
          <w:tcPr>
            <w:tcW w:w="5670" w:type="dxa"/>
            <w:tcBorders>
              <w:top w:val="nil"/>
              <w:left w:val="nil"/>
              <w:bottom w:val="nil"/>
              <w:right w:val="nil"/>
            </w:tcBorders>
            <w:tcMar>
              <w:right w:w="85" w:type="dxa"/>
            </w:tcMar>
          </w:tcPr>
          <w:p w:rsidR="00B73E9A" w:rsidRDefault="00B73E9A" w:rsidP="00B73E9A">
            <w:pPr>
              <w:pStyle w:val="boxstyle"/>
              <w:jc w:val="left"/>
              <w:rPr>
                <w:rFonts w:ascii="Arial Narrow" w:hAnsi="Arial Narrow"/>
              </w:rPr>
            </w:pPr>
            <w:r>
              <w:rPr>
                <w:rFonts w:ascii="Arial Narrow" w:hAnsi="Arial Narrow"/>
              </w:rPr>
              <w:t>A concise summary</w:t>
            </w:r>
            <w:bookmarkStart w:id="1" w:name="_Ref349320091"/>
            <w:r>
              <w:rPr>
                <w:rStyle w:val="FootnoteReference"/>
                <w:rFonts w:ascii="Arial Narrow" w:hAnsi="Arial Narrow"/>
                <w:vertAlign w:val="superscript"/>
              </w:rPr>
              <w:footnoteReference w:id="2"/>
            </w:r>
            <w:bookmarkEnd w:id="1"/>
            <w:r>
              <w:rPr>
                <w:rFonts w:ascii="Arial Narrow" w:hAnsi="Arial Narrow"/>
              </w:rPr>
              <w:t xml:space="preserve"> of the rights and obligations of security holders under the law of its home jurisdiction and/or the rules of its home exchange covering:</w:t>
            </w:r>
          </w:p>
          <w:p w:rsidR="00B73E9A" w:rsidRDefault="00B73E9A" w:rsidP="00B73E9A">
            <w:pPr>
              <w:numPr>
                <w:ilvl w:val="0"/>
                <w:numId w:val="22"/>
              </w:numPr>
              <w:ind w:left="284" w:hanging="284"/>
              <w:textAlignment w:val="auto"/>
              <w:rPr>
                <w:rFonts w:ascii="Arial Narrow" w:hAnsi="Arial Narrow"/>
                <w:sz w:val="20"/>
                <w:lang w:val="en-AU"/>
              </w:rPr>
            </w:pPr>
            <w:r>
              <w:rPr>
                <w:rFonts w:ascii="Arial Narrow" w:hAnsi="Arial Narrow"/>
                <w:sz w:val="20"/>
                <w:lang w:val="en-AU"/>
              </w:rPr>
              <w:t>what types of transactions require security holder approval;</w:t>
            </w:r>
          </w:p>
          <w:p w:rsidR="00B73E9A" w:rsidRDefault="00B73E9A" w:rsidP="00B73E9A">
            <w:pPr>
              <w:numPr>
                <w:ilvl w:val="0"/>
                <w:numId w:val="22"/>
              </w:numPr>
              <w:ind w:left="284" w:hanging="284"/>
              <w:textAlignment w:val="auto"/>
              <w:rPr>
                <w:rFonts w:ascii="Arial Narrow" w:hAnsi="Arial Narrow"/>
                <w:sz w:val="20"/>
                <w:lang w:val="en-AU"/>
              </w:rPr>
            </w:pPr>
            <w:r>
              <w:rPr>
                <w:rFonts w:ascii="Arial Narrow" w:hAnsi="Arial Narrow"/>
                <w:sz w:val="20"/>
                <w:lang w:val="en-AU"/>
              </w:rPr>
              <w:t>whether security holders have a right to request or requisition a meeting of security holders;</w:t>
            </w:r>
          </w:p>
          <w:p w:rsidR="00B73E9A" w:rsidRDefault="00B73E9A" w:rsidP="00B73E9A">
            <w:pPr>
              <w:numPr>
                <w:ilvl w:val="0"/>
                <w:numId w:val="22"/>
              </w:numPr>
              <w:ind w:left="284" w:hanging="284"/>
              <w:textAlignment w:val="auto"/>
              <w:rPr>
                <w:rFonts w:ascii="Arial Narrow" w:hAnsi="Arial Narrow"/>
                <w:sz w:val="20"/>
                <w:lang w:val="en-AU"/>
              </w:rPr>
            </w:pPr>
            <w:r>
              <w:rPr>
                <w:rFonts w:ascii="Arial Narrow" w:hAnsi="Arial Narrow"/>
                <w:sz w:val="20"/>
                <w:lang w:val="en-AU"/>
              </w:rPr>
              <w:t>whether security holders have a right to appoint proxies to attend and vote at meetings on their behalf;</w:t>
            </w:r>
          </w:p>
          <w:p w:rsidR="00B73E9A" w:rsidRDefault="00B73E9A" w:rsidP="00B73E9A">
            <w:pPr>
              <w:numPr>
                <w:ilvl w:val="0"/>
                <w:numId w:val="22"/>
              </w:numPr>
              <w:ind w:left="284" w:hanging="284"/>
              <w:textAlignment w:val="auto"/>
              <w:rPr>
                <w:rFonts w:ascii="Arial Narrow" w:hAnsi="Arial Narrow"/>
                <w:sz w:val="20"/>
                <w:lang w:val="en-AU"/>
              </w:rPr>
            </w:pPr>
            <w:r>
              <w:rPr>
                <w:rFonts w:ascii="Arial Narrow" w:hAnsi="Arial Narrow"/>
                <w:sz w:val="20"/>
                <w:lang w:val="en-AU"/>
              </w:rPr>
              <w:t>how changes in the rights attaching to securities are regulated;</w:t>
            </w:r>
          </w:p>
          <w:p w:rsidR="00B73E9A" w:rsidRDefault="00B73E9A" w:rsidP="00B73E9A">
            <w:pPr>
              <w:numPr>
                <w:ilvl w:val="0"/>
                <w:numId w:val="22"/>
              </w:numPr>
              <w:ind w:left="284" w:hanging="284"/>
              <w:textAlignment w:val="auto"/>
              <w:rPr>
                <w:rFonts w:ascii="Arial Narrow" w:hAnsi="Arial Narrow"/>
                <w:sz w:val="20"/>
                <w:lang w:val="en-AU"/>
              </w:rPr>
            </w:pPr>
            <w:r>
              <w:rPr>
                <w:rFonts w:ascii="Arial Narrow" w:hAnsi="Arial Narrow"/>
                <w:sz w:val="20"/>
                <w:lang w:val="en-AU"/>
              </w:rPr>
              <w:t>what rights do security holders have to seek relief for oppressive conduct;</w:t>
            </w:r>
          </w:p>
          <w:p w:rsidR="00B73E9A" w:rsidRDefault="00B73E9A" w:rsidP="00B73E9A">
            <w:pPr>
              <w:numPr>
                <w:ilvl w:val="0"/>
                <w:numId w:val="22"/>
              </w:numPr>
              <w:ind w:left="284" w:hanging="284"/>
              <w:textAlignment w:val="auto"/>
              <w:rPr>
                <w:rFonts w:ascii="Arial Narrow" w:hAnsi="Arial Narrow"/>
                <w:sz w:val="20"/>
                <w:lang w:val="en-AU"/>
              </w:rPr>
            </w:pPr>
            <w:r>
              <w:rPr>
                <w:rFonts w:ascii="Arial Narrow" w:hAnsi="Arial Narrow"/>
                <w:sz w:val="20"/>
                <w:lang w:val="en-AU"/>
              </w:rPr>
              <w:t>what rights do security holders have to bring or intervene in legal proceedings on behalf of the entity; and</w:t>
            </w:r>
          </w:p>
          <w:p w:rsidR="00B73E9A" w:rsidRPr="00E87DBE" w:rsidRDefault="00B73E9A" w:rsidP="00C83927">
            <w:pPr>
              <w:numPr>
                <w:ilvl w:val="0"/>
                <w:numId w:val="22"/>
              </w:numPr>
              <w:ind w:left="284" w:hanging="284"/>
              <w:textAlignment w:val="auto"/>
              <w:rPr>
                <w:rFonts w:ascii="Arial Narrow" w:hAnsi="Arial Narrow"/>
                <w:color w:val="000000"/>
                <w:sz w:val="20"/>
                <w:lang w:val="en-AU"/>
              </w:rPr>
            </w:pPr>
            <w:r>
              <w:rPr>
                <w:rFonts w:ascii="Arial Narrow" w:hAnsi="Arial Narrow"/>
                <w:sz w:val="20"/>
                <w:lang w:val="en-AU"/>
              </w:rPr>
              <w:t>whether there is any equivalent to the “two strikes” rule in relation to remuneration reports in Part 2G.2 Division 9 of the Corporations Act (Guidance Note 4 section 2.3)</w:t>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rsidR="00B73E9A" w:rsidRPr="00E87DBE" w:rsidRDefault="00B73E9A" w:rsidP="00A43EF8">
            <w:pPr>
              <w:ind w:left="0" w:firstLine="0"/>
              <w:jc w:val="left"/>
              <w:rPr>
                <w:rFonts w:ascii="Arial Narrow" w:hAnsi="Arial Narrow"/>
                <w:color w:val="000000"/>
                <w:sz w:val="20"/>
                <w:lang w:val="en-AU"/>
              </w:rPr>
            </w:pPr>
          </w:p>
        </w:tc>
      </w:tr>
      <w:tr w:rsidR="00B73E9A" w:rsidRPr="00E87DBE" w:rsidTr="00A43EF8">
        <w:trPr>
          <w:cantSplit/>
        </w:trPr>
        <w:tc>
          <w:tcPr>
            <w:tcW w:w="284" w:type="dxa"/>
            <w:tcBorders>
              <w:top w:val="nil"/>
              <w:left w:val="nil"/>
              <w:bottom w:val="nil"/>
              <w:right w:val="nil"/>
            </w:tcBorders>
          </w:tcPr>
          <w:p w:rsidR="00B73E9A" w:rsidRPr="00E87DBE" w:rsidRDefault="00B73E9A" w:rsidP="00A43EF8">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B73E9A" w:rsidRPr="00E87DBE" w:rsidRDefault="00B73E9A" w:rsidP="00A43EF8">
            <w:pPr>
              <w:ind w:left="0" w:firstLine="0"/>
              <w:jc w:val="left"/>
              <w:rPr>
                <w:rFonts w:ascii="Arial Narrow" w:hAnsi="Arial Narrow"/>
                <w:sz w:val="20"/>
              </w:rPr>
            </w:pPr>
          </w:p>
        </w:tc>
        <w:tc>
          <w:tcPr>
            <w:tcW w:w="3119" w:type="dxa"/>
            <w:tcBorders>
              <w:top w:val="nil"/>
              <w:left w:val="nil"/>
              <w:bottom w:val="nil"/>
              <w:right w:val="nil"/>
            </w:tcBorders>
            <w:tcMar>
              <w:left w:w="85" w:type="dxa"/>
              <w:right w:w="85" w:type="dxa"/>
            </w:tcMar>
          </w:tcPr>
          <w:p w:rsidR="00B73E9A" w:rsidRPr="00E87DBE" w:rsidRDefault="00B73E9A" w:rsidP="00A43EF8">
            <w:pPr>
              <w:ind w:left="0" w:firstLine="0"/>
              <w:jc w:val="left"/>
              <w:rPr>
                <w:rFonts w:ascii="Arial Narrow" w:hAnsi="Arial Narrow"/>
                <w:sz w:val="20"/>
              </w:rPr>
            </w:pPr>
          </w:p>
        </w:tc>
      </w:tr>
      <w:tr w:rsidR="00B73E9A" w:rsidRPr="00E87DBE" w:rsidTr="00A43EF8">
        <w:trPr>
          <w:cantSplit/>
        </w:trPr>
        <w:tc>
          <w:tcPr>
            <w:tcW w:w="284" w:type="dxa"/>
            <w:tcBorders>
              <w:top w:val="nil"/>
              <w:left w:val="nil"/>
              <w:bottom w:val="nil"/>
              <w:right w:val="nil"/>
            </w:tcBorders>
          </w:tcPr>
          <w:p w:rsidR="00B73E9A" w:rsidRPr="00E87DBE" w:rsidRDefault="00B73E9A" w:rsidP="00A43EF8">
            <w:pPr>
              <w:numPr>
                <w:ilvl w:val="0"/>
                <w:numId w:val="15"/>
              </w:numPr>
              <w:tabs>
                <w:tab w:val="left" w:pos="150"/>
              </w:tabs>
              <w:ind w:left="0" w:firstLine="0"/>
              <w:jc w:val="left"/>
              <w:rPr>
                <w:rFonts w:ascii="Arial Narrow" w:hAnsi="Arial Narrow"/>
                <w:color w:val="000000"/>
                <w:sz w:val="20"/>
                <w:lang w:val="en-AU"/>
              </w:rPr>
            </w:pPr>
          </w:p>
        </w:tc>
        <w:tc>
          <w:tcPr>
            <w:tcW w:w="5670" w:type="dxa"/>
            <w:tcBorders>
              <w:top w:val="nil"/>
              <w:left w:val="nil"/>
              <w:bottom w:val="nil"/>
              <w:right w:val="nil"/>
            </w:tcBorders>
            <w:tcMar>
              <w:right w:w="85" w:type="dxa"/>
            </w:tcMar>
          </w:tcPr>
          <w:p w:rsidR="00B73E9A" w:rsidRDefault="00B73E9A" w:rsidP="00B73E9A">
            <w:pPr>
              <w:pStyle w:val="boxstyle"/>
              <w:jc w:val="left"/>
              <w:rPr>
                <w:rFonts w:ascii="Arial Narrow" w:hAnsi="Arial Narrow"/>
              </w:rPr>
            </w:pPr>
            <w:r>
              <w:rPr>
                <w:rFonts w:ascii="Arial Narrow" w:hAnsi="Arial Narrow"/>
              </w:rPr>
              <w:t>A concise summary</w:t>
            </w:r>
            <w:r>
              <w:rPr>
                <w:rStyle w:val="FootnoteReference"/>
                <w:rFonts w:ascii="Arial Narrow" w:hAnsi="Arial Narrow"/>
                <w:vertAlign w:val="superscript"/>
              </w:rPr>
              <w:footnoteReference w:id="3"/>
            </w:r>
            <w:r>
              <w:rPr>
                <w:rFonts w:ascii="Arial Narrow" w:hAnsi="Arial Narrow"/>
              </w:rPr>
              <w:t xml:space="preserve"> of the obligations of the entity under the law of its home jurisdiction and/or the rules of its home exchange regarding:</w:t>
            </w:r>
          </w:p>
          <w:p w:rsidR="00B73E9A" w:rsidRDefault="00B73E9A" w:rsidP="00B73E9A">
            <w:pPr>
              <w:numPr>
                <w:ilvl w:val="0"/>
                <w:numId w:val="23"/>
              </w:numPr>
              <w:ind w:left="284" w:hanging="284"/>
              <w:textAlignment w:val="auto"/>
              <w:rPr>
                <w:rFonts w:ascii="Arial Narrow" w:hAnsi="Arial Narrow"/>
                <w:color w:val="000000"/>
                <w:sz w:val="20"/>
                <w:lang w:val="en-AU"/>
              </w:rPr>
            </w:pPr>
            <w:r>
              <w:rPr>
                <w:rFonts w:ascii="Arial Narrow" w:hAnsi="Arial Narrow"/>
                <w:sz w:val="20"/>
              </w:rPr>
              <w:t>the disclosure</w:t>
            </w:r>
            <w:r>
              <w:rPr>
                <w:rFonts w:ascii="Arial Narrow" w:hAnsi="Arial Narrow"/>
                <w:color w:val="000000"/>
                <w:sz w:val="20"/>
                <w:lang w:val="en-AU"/>
              </w:rPr>
              <w:t xml:space="preserve"> of material information;</w:t>
            </w:r>
          </w:p>
          <w:p w:rsidR="00B73E9A" w:rsidRDefault="00B73E9A" w:rsidP="00B73E9A">
            <w:pPr>
              <w:numPr>
                <w:ilvl w:val="0"/>
                <w:numId w:val="23"/>
              </w:numPr>
              <w:ind w:left="284" w:hanging="284"/>
              <w:textAlignment w:val="auto"/>
              <w:rPr>
                <w:rFonts w:ascii="Arial Narrow" w:hAnsi="Arial Narrow"/>
                <w:color w:val="000000"/>
                <w:sz w:val="20"/>
                <w:lang w:val="en-AU"/>
              </w:rPr>
            </w:pPr>
            <w:r>
              <w:rPr>
                <w:rFonts w:ascii="Arial Narrow" w:hAnsi="Arial Narrow"/>
                <w:sz w:val="20"/>
              </w:rPr>
              <w:t>the disclosure</w:t>
            </w:r>
            <w:r>
              <w:rPr>
                <w:rFonts w:ascii="Arial Narrow" w:hAnsi="Arial Narrow"/>
                <w:color w:val="000000"/>
                <w:sz w:val="20"/>
                <w:lang w:val="en-AU"/>
              </w:rPr>
              <w:t xml:space="preserve"> of periodic financial information and the accounting and auditing standards that apply;</w:t>
            </w:r>
          </w:p>
          <w:p w:rsidR="00B73E9A" w:rsidRDefault="00B73E9A" w:rsidP="00B73E9A">
            <w:pPr>
              <w:numPr>
                <w:ilvl w:val="0"/>
                <w:numId w:val="23"/>
              </w:numPr>
              <w:ind w:left="284" w:hanging="284"/>
              <w:textAlignment w:val="auto"/>
              <w:rPr>
                <w:rFonts w:ascii="Arial Narrow" w:hAnsi="Arial Narrow"/>
                <w:color w:val="000000"/>
                <w:sz w:val="20"/>
                <w:lang w:val="en-AU"/>
              </w:rPr>
            </w:pPr>
            <w:r>
              <w:rPr>
                <w:rFonts w:ascii="Arial Narrow" w:hAnsi="Arial Narrow"/>
                <w:color w:val="000000"/>
                <w:sz w:val="20"/>
                <w:lang w:val="en-AU"/>
              </w:rPr>
              <w:t>requirements for information to be sent to security holders; and</w:t>
            </w:r>
          </w:p>
          <w:p w:rsidR="00B73E9A" w:rsidRPr="00E87DBE" w:rsidRDefault="00B73E9A" w:rsidP="00C83927">
            <w:pPr>
              <w:numPr>
                <w:ilvl w:val="0"/>
                <w:numId w:val="23"/>
              </w:numPr>
              <w:ind w:left="284" w:hanging="284"/>
              <w:textAlignment w:val="auto"/>
              <w:rPr>
                <w:rFonts w:ascii="Arial Narrow" w:hAnsi="Arial Narrow"/>
                <w:color w:val="000000"/>
                <w:sz w:val="20"/>
                <w:lang w:val="en-AU"/>
              </w:rPr>
            </w:pPr>
            <w:r>
              <w:rPr>
                <w:rFonts w:ascii="Arial Narrow" w:hAnsi="Arial Narrow"/>
                <w:color w:val="000000"/>
                <w:sz w:val="20"/>
                <w:lang w:val="en-AU"/>
              </w:rPr>
              <w:t xml:space="preserve">regulation of dealings with directors and controlling holders of equity securities </w:t>
            </w:r>
            <w:r w:rsidRPr="00C83927">
              <w:rPr>
                <w:rFonts w:ascii="Arial Narrow" w:hAnsi="Arial Narrow"/>
                <w:color w:val="000000"/>
                <w:sz w:val="20"/>
                <w:lang w:val="en-AU"/>
              </w:rPr>
              <w:t>(Guidance Note 4 section 2.3)</w:t>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rsidR="00B73E9A" w:rsidRPr="00E87DBE" w:rsidRDefault="00B73E9A" w:rsidP="00A43EF8">
            <w:pPr>
              <w:ind w:left="0" w:firstLine="0"/>
              <w:jc w:val="left"/>
              <w:rPr>
                <w:rFonts w:ascii="Arial Narrow" w:hAnsi="Arial Narrow"/>
                <w:color w:val="000000"/>
                <w:sz w:val="20"/>
                <w:lang w:val="en-AU"/>
              </w:rPr>
            </w:pPr>
          </w:p>
        </w:tc>
      </w:tr>
      <w:tr w:rsidR="006E7350" w:rsidRPr="00E87DBE" w:rsidTr="00CD52F9">
        <w:trPr>
          <w:cantSplit/>
        </w:trPr>
        <w:tc>
          <w:tcPr>
            <w:tcW w:w="284" w:type="dxa"/>
            <w:tcBorders>
              <w:top w:val="nil"/>
              <w:left w:val="nil"/>
              <w:bottom w:val="nil"/>
              <w:right w:val="nil"/>
            </w:tcBorders>
          </w:tcPr>
          <w:p w:rsidR="006E7350" w:rsidRPr="00E87DBE" w:rsidRDefault="006E7350" w:rsidP="00CD52F9">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6E7350" w:rsidRPr="00E87DBE" w:rsidRDefault="006E7350" w:rsidP="00CD52F9">
            <w:pPr>
              <w:ind w:left="0" w:firstLine="0"/>
              <w:jc w:val="left"/>
              <w:rPr>
                <w:rFonts w:ascii="Arial Narrow" w:hAnsi="Arial Narrow"/>
                <w:sz w:val="20"/>
              </w:rPr>
            </w:pPr>
          </w:p>
        </w:tc>
        <w:tc>
          <w:tcPr>
            <w:tcW w:w="3119" w:type="dxa"/>
            <w:tcBorders>
              <w:top w:val="nil"/>
              <w:left w:val="nil"/>
              <w:bottom w:val="nil"/>
              <w:right w:val="nil"/>
            </w:tcBorders>
            <w:tcMar>
              <w:left w:w="85" w:type="dxa"/>
              <w:right w:w="85" w:type="dxa"/>
            </w:tcMar>
          </w:tcPr>
          <w:p w:rsidR="006E7350" w:rsidRPr="00E87DBE" w:rsidRDefault="006E7350" w:rsidP="00CD52F9">
            <w:pPr>
              <w:ind w:left="0" w:firstLine="0"/>
              <w:jc w:val="left"/>
              <w:rPr>
                <w:rFonts w:ascii="Arial Narrow" w:hAnsi="Arial Narrow"/>
                <w:sz w:val="20"/>
              </w:rPr>
            </w:pPr>
          </w:p>
        </w:tc>
      </w:tr>
      <w:tr w:rsidR="006E7350" w:rsidRPr="00C83927" w:rsidTr="00CD52F9">
        <w:trPr>
          <w:cantSplit/>
        </w:trPr>
        <w:tc>
          <w:tcPr>
            <w:tcW w:w="284" w:type="dxa"/>
            <w:tcBorders>
              <w:top w:val="nil"/>
              <w:left w:val="nil"/>
              <w:bottom w:val="nil"/>
              <w:right w:val="nil"/>
            </w:tcBorders>
          </w:tcPr>
          <w:p w:rsidR="006E7350" w:rsidRPr="00C83927" w:rsidRDefault="006E7350" w:rsidP="00CD52F9">
            <w:pPr>
              <w:numPr>
                <w:ilvl w:val="0"/>
                <w:numId w:val="15"/>
              </w:numPr>
              <w:tabs>
                <w:tab w:val="left" w:pos="150"/>
              </w:tabs>
              <w:ind w:left="0" w:firstLine="0"/>
              <w:jc w:val="left"/>
              <w:rPr>
                <w:rFonts w:ascii="Arial Narrow" w:hAnsi="Arial Narrow"/>
                <w:color w:val="000000"/>
                <w:sz w:val="20"/>
                <w:lang w:val="en-AU"/>
              </w:rPr>
            </w:pPr>
          </w:p>
        </w:tc>
        <w:tc>
          <w:tcPr>
            <w:tcW w:w="5670" w:type="dxa"/>
            <w:tcBorders>
              <w:top w:val="nil"/>
              <w:left w:val="nil"/>
              <w:bottom w:val="nil"/>
              <w:right w:val="nil"/>
            </w:tcBorders>
            <w:tcMar>
              <w:right w:w="85" w:type="dxa"/>
            </w:tcMar>
          </w:tcPr>
          <w:p w:rsidR="006E7350" w:rsidRPr="00C83927" w:rsidRDefault="006E7350" w:rsidP="00CD52F9">
            <w:pPr>
              <w:ind w:left="0" w:firstLine="0"/>
              <w:jc w:val="left"/>
              <w:rPr>
                <w:rFonts w:ascii="Arial Narrow" w:hAnsi="Arial Narrow"/>
                <w:color w:val="000000"/>
                <w:sz w:val="20"/>
                <w:lang w:val="en-AU"/>
              </w:rPr>
            </w:pPr>
            <w:r w:rsidRPr="008E0497">
              <w:rPr>
                <w:rFonts w:ascii="Arial Narrow" w:hAnsi="Arial Narrow"/>
                <w:sz w:val="20"/>
              </w:rPr>
              <w:t>A concise summary</w:t>
            </w:r>
            <w:r w:rsidRPr="00C83927">
              <w:rPr>
                <w:rStyle w:val="FootnoteReference"/>
                <w:rFonts w:ascii="Arial Narrow" w:hAnsi="Arial Narrow"/>
                <w:sz w:val="20"/>
                <w:vertAlign w:val="superscript"/>
              </w:rPr>
              <w:footnoteReference w:id="4"/>
            </w:r>
            <w:r w:rsidRPr="008E0497">
              <w:rPr>
                <w:rFonts w:ascii="Arial Narrow" w:hAnsi="Arial Narrow"/>
                <w:sz w:val="20"/>
              </w:rPr>
              <w:t xml:space="preserve"> of how the disclosure of substantial holdings and takeovers are regulated under the law of its home jurisdiction (Guidance Note 4 section 2.3)</w:t>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rsidR="006E7350" w:rsidRPr="00C83927" w:rsidRDefault="006E7350" w:rsidP="00CD52F9">
            <w:pPr>
              <w:ind w:left="0" w:firstLine="0"/>
              <w:jc w:val="left"/>
              <w:rPr>
                <w:rFonts w:ascii="Arial Narrow" w:hAnsi="Arial Narrow"/>
                <w:color w:val="000000"/>
                <w:sz w:val="20"/>
                <w:lang w:val="en-AU"/>
              </w:rPr>
            </w:pPr>
          </w:p>
        </w:tc>
      </w:tr>
      <w:tr w:rsidR="00B73E9A" w:rsidRPr="00E87DBE" w:rsidTr="00A43EF8">
        <w:trPr>
          <w:cantSplit/>
        </w:trPr>
        <w:tc>
          <w:tcPr>
            <w:tcW w:w="284" w:type="dxa"/>
            <w:tcBorders>
              <w:top w:val="nil"/>
              <w:left w:val="nil"/>
              <w:bottom w:val="nil"/>
              <w:right w:val="nil"/>
            </w:tcBorders>
          </w:tcPr>
          <w:p w:rsidR="00B73E9A" w:rsidRPr="00E87DBE" w:rsidRDefault="00B73E9A" w:rsidP="00A43EF8">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B73E9A" w:rsidRPr="00E87DBE" w:rsidRDefault="00B73E9A" w:rsidP="00A43EF8">
            <w:pPr>
              <w:ind w:left="0" w:firstLine="0"/>
              <w:jc w:val="left"/>
              <w:rPr>
                <w:rFonts w:ascii="Arial Narrow" w:hAnsi="Arial Narrow"/>
                <w:sz w:val="20"/>
              </w:rPr>
            </w:pPr>
          </w:p>
        </w:tc>
        <w:tc>
          <w:tcPr>
            <w:tcW w:w="3119" w:type="dxa"/>
            <w:tcBorders>
              <w:top w:val="nil"/>
              <w:left w:val="nil"/>
              <w:bottom w:val="nil"/>
              <w:right w:val="nil"/>
            </w:tcBorders>
            <w:tcMar>
              <w:left w:w="85" w:type="dxa"/>
              <w:right w:w="85" w:type="dxa"/>
            </w:tcMar>
          </w:tcPr>
          <w:p w:rsidR="00B73E9A" w:rsidRPr="00E87DBE" w:rsidRDefault="00B73E9A" w:rsidP="00A43EF8">
            <w:pPr>
              <w:ind w:left="0" w:firstLine="0"/>
              <w:jc w:val="left"/>
              <w:rPr>
                <w:rFonts w:ascii="Arial Narrow" w:hAnsi="Arial Narrow"/>
                <w:sz w:val="20"/>
              </w:rPr>
            </w:pPr>
          </w:p>
        </w:tc>
      </w:tr>
      <w:tr w:rsidR="00B73E9A" w:rsidRPr="00C83927" w:rsidTr="00A43EF8">
        <w:trPr>
          <w:cantSplit/>
        </w:trPr>
        <w:tc>
          <w:tcPr>
            <w:tcW w:w="284" w:type="dxa"/>
            <w:tcBorders>
              <w:top w:val="nil"/>
              <w:left w:val="nil"/>
              <w:bottom w:val="nil"/>
              <w:right w:val="nil"/>
            </w:tcBorders>
          </w:tcPr>
          <w:p w:rsidR="00B73E9A" w:rsidRPr="00C83927" w:rsidRDefault="00B73E9A" w:rsidP="00A43EF8">
            <w:pPr>
              <w:numPr>
                <w:ilvl w:val="0"/>
                <w:numId w:val="15"/>
              </w:numPr>
              <w:tabs>
                <w:tab w:val="left" w:pos="150"/>
              </w:tabs>
              <w:ind w:left="0" w:firstLine="0"/>
              <w:jc w:val="left"/>
              <w:rPr>
                <w:rFonts w:ascii="Arial Narrow" w:hAnsi="Arial Narrow"/>
                <w:color w:val="000000"/>
                <w:sz w:val="20"/>
                <w:lang w:val="en-AU"/>
              </w:rPr>
            </w:pPr>
          </w:p>
        </w:tc>
        <w:tc>
          <w:tcPr>
            <w:tcW w:w="5670" w:type="dxa"/>
            <w:tcBorders>
              <w:top w:val="nil"/>
              <w:left w:val="nil"/>
              <w:bottom w:val="nil"/>
              <w:right w:val="nil"/>
            </w:tcBorders>
            <w:tcMar>
              <w:right w:w="85" w:type="dxa"/>
            </w:tcMar>
          </w:tcPr>
          <w:p w:rsidR="00B73E9A" w:rsidRPr="00C83927" w:rsidRDefault="00B73E9A" w:rsidP="006E7350">
            <w:pPr>
              <w:ind w:left="0" w:firstLine="0"/>
              <w:jc w:val="left"/>
              <w:rPr>
                <w:rFonts w:ascii="Arial Narrow" w:hAnsi="Arial Narrow"/>
                <w:color w:val="000000"/>
                <w:sz w:val="20"/>
                <w:lang w:val="en-AU"/>
              </w:rPr>
            </w:pPr>
            <w:r w:rsidRPr="008E0497">
              <w:rPr>
                <w:rFonts w:ascii="Arial Narrow" w:hAnsi="Arial Narrow"/>
                <w:sz w:val="20"/>
              </w:rPr>
              <w:t xml:space="preserve">A </w:t>
            </w:r>
            <w:r w:rsidR="006E7350" w:rsidRPr="006E7350">
              <w:rPr>
                <w:rFonts w:ascii="Arial Narrow" w:hAnsi="Arial Narrow"/>
                <w:color w:val="000000"/>
                <w:sz w:val="20"/>
                <w:lang w:val="en-AU"/>
              </w:rPr>
              <w:t>summary of any taxes or duties payable under the law of its home jurisdiction by an investor in relation to the acquisition, holding or disposal of securities in the entity or, if there are no such taxes or duties, a statement to that effect</w:t>
            </w:r>
            <w:r w:rsidR="006E7350" w:rsidRPr="008E0497">
              <w:rPr>
                <w:rFonts w:ascii="Arial Narrow" w:hAnsi="Arial Narrow"/>
                <w:sz w:val="20"/>
              </w:rPr>
              <w:t xml:space="preserve"> </w:t>
            </w:r>
            <w:r w:rsidRPr="008E0497">
              <w:rPr>
                <w:rFonts w:ascii="Arial Narrow" w:hAnsi="Arial Narrow"/>
                <w:sz w:val="20"/>
              </w:rPr>
              <w:t>(Guidance Note 4 section 2.3)</w:t>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rsidR="00B73E9A" w:rsidRPr="00C83927" w:rsidRDefault="00B73E9A" w:rsidP="00A43EF8">
            <w:pPr>
              <w:ind w:left="0" w:firstLine="0"/>
              <w:jc w:val="left"/>
              <w:rPr>
                <w:rFonts w:ascii="Arial Narrow" w:hAnsi="Arial Narrow"/>
                <w:color w:val="000000"/>
                <w:sz w:val="20"/>
                <w:lang w:val="en-AU"/>
              </w:rPr>
            </w:pPr>
          </w:p>
        </w:tc>
      </w:tr>
      <w:tr w:rsidR="00B73E9A" w:rsidRPr="00AF4322" w:rsidTr="00A43EF8">
        <w:trPr>
          <w:cantSplit/>
        </w:trPr>
        <w:tc>
          <w:tcPr>
            <w:tcW w:w="9073" w:type="dxa"/>
            <w:gridSpan w:val="3"/>
            <w:tcBorders>
              <w:top w:val="nil"/>
              <w:left w:val="nil"/>
              <w:bottom w:val="nil"/>
            </w:tcBorders>
            <w:tcMar>
              <w:left w:w="0" w:type="dxa"/>
              <w:right w:w="0" w:type="dxa"/>
            </w:tcMar>
          </w:tcPr>
          <w:p w:rsidR="00B73E9A" w:rsidRPr="00AF4322" w:rsidRDefault="00B73E9A" w:rsidP="00A43EF8">
            <w:pPr>
              <w:pStyle w:val="Heading4"/>
              <w:keepNext/>
              <w:spacing w:before="240" w:after="240"/>
              <w:jc w:val="left"/>
              <w:rPr>
                <w:rFonts w:ascii="Arial Narrow" w:hAnsi="Arial Narrow"/>
              </w:rPr>
            </w:pPr>
            <w:r>
              <w:rPr>
                <w:rFonts w:ascii="Arial Narrow" w:hAnsi="Arial Narrow"/>
              </w:rPr>
              <w:t xml:space="preserve">Entities </w:t>
            </w:r>
            <w:r w:rsidRPr="00AF4322">
              <w:rPr>
                <w:rFonts w:ascii="Arial Narrow" w:hAnsi="Arial Narrow"/>
              </w:rPr>
              <w:t>a</w:t>
            </w:r>
            <w:r>
              <w:rPr>
                <w:rFonts w:ascii="Arial Narrow" w:hAnsi="Arial Narrow"/>
              </w:rPr>
              <w:t xml:space="preserve">pplying under the </w:t>
            </w:r>
            <w:r w:rsidRPr="00116F42">
              <w:rPr>
                <w:rFonts w:ascii="Arial Narrow" w:hAnsi="Arial Narrow"/>
              </w:rPr>
              <w:t xml:space="preserve">profit </w:t>
            </w:r>
            <w:r>
              <w:rPr>
                <w:rFonts w:ascii="Arial Narrow" w:hAnsi="Arial Narrow"/>
              </w:rPr>
              <w:t>assets test</w:t>
            </w:r>
          </w:p>
        </w:tc>
      </w:tr>
      <w:tr w:rsidR="00E87DBE" w:rsidRPr="00E87DBE" w:rsidTr="008E0497">
        <w:trPr>
          <w:cantSplit/>
        </w:trPr>
        <w:tc>
          <w:tcPr>
            <w:tcW w:w="284" w:type="dxa"/>
            <w:tcBorders>
              <w:top w:val="nil"/>
              <w:left w:val="nil"/>
              <w:bottom w:val="nil"/>
              <w:right w:val="nil"/>
            </w:tcBorders>
          </w:tcPr>
          <w:p w:rsidR="00E87DBE" w:rsidRPr="00E87DBE" w:rsidRDefault="00E87DBE" w:rsidP="00E87DBE">
            <w:pPr>
              <w:numPr>
                <w:ilvl w:val="0"/>
                <w:numId w:val="15"/>
              </w:numPr>
              <w:tabs>
                <w:tab w:val="left" w:pos="150"/>
              </w:tabs>
              <w:ind w:left="0" w:firstLine="0"/>
              <w:jc w:val="left"/>
              <w:rPr>
                <w:rFonts w:ascii="Arial Narrow" w:hAnsi="Arial Narrow"/>
                <w:color w:val="000000"/>
                <w:sz w:val="20"/>
                <w:lang w:val="en-AU"/>
              </w:rPr>
            </w:pPr>
            <w:bookmarkStart w:id="2" w:name="_Ref382575031"/>
          </w:p>
        </w:tc>
        <w:bookmarkEnd w:id="2"/>
        <w:tc>
          <w:tcPr>
            <w:tcW w:w="5670" w:type="dxa"/>
            <w:tcBorders>
              <w:top w:val="nil"/>
              <w:left w:val="nil"/>
              <w:bottom w:val="nil"/>
              <w:right w:val="nil"/>
            </w:tcBorders>
            <w:tcMar>
              <w:right w:w="85" w:type="dxa"/>
            </w:tcMar>
          </w:tcPr>
          <w:p w:rsidR="00E87DBE" w:rsidRPr="00E87DBE" w:rsidRDefault="00584B29" w:rsidP="005C54C2">
            <w:pPr>
              <w:ind w:left="0" w:firstLine="0"/>
              <w:jc w:val="left"/>
              <w:rPr>
                <w:rFonts w:ascii="Arial Narrow" w:hAnsi="Arial Narrow"/>
                <w:color w:val="000000"/>
                <w:sz w:val="20"/>
                <w:lang w:val="en-AU"/>
              </w:rPr>
            </w:pPr>
            <w:r>
              <w:rPr>
                <w:rFonts w:ascii="Arial Narrow" w:hAnsi="Arial Narrow"/>
                <w:color w:val="000000"/>
                <w:sz w:val="20"/>
                <w:lang w:val="en-AU"/>
              </w:rPr>
              <w:t>Evidence that the entity is a going concern or the successor of a going concern (Listing Rule 1.12.1)</w:t>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rsidR="00E87DBE" w:rsidRPr="00E87DBE" w:rsidRDefault="00E87DBE" w:rsidP="00E87DBE">
            <w:pPr>
              <w:ind w:left="0" w:firstLine="0"/>
              <w:jc w:val="left"/>
              <w:rPr>
                <w:rFonts w:ascii="Arial Narrow" w:hAnsi="Arial Narrow"/>
                <w:color w:val="000000"/>
                <w:sz w:val="20"/>
                <w:lang w:val="en-AU"/>
              </w:rPr>
            </w:pPr>
          </w:p>
        </w:tc>
      </w:tr>
      <w:tr w:rsidR="00E87DBE" w:rsidRPr="00E87DBE" w:rsidTr="008E0497">
        <w:trPr>
          <w:cantSplit/>
        </w:trPr>
        <w:tc>
          <w:tcPr>
            <w:tcW w:w="284" w:type="dxa"/>
            <w:tcBorders>
              <w:top w:val="nil"/>
              <w:left w:val="nil"/>
              <w:bottom w:val="nil"/>
              <w:right w:val="nil"/>
            </w:tcBorders>
          </w:tcPr>
          <w:p w:rsidR="00E87DBE" w:rsidRPr="00E87DBE" w:rsidRDefault="00E87DBE" w:rsidP="00E87DBE">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E87DBE" w:rsidRPr="00E87DBE" w:rsidRDefault="00E87DBE" w:rsidP="00E87DBE">
            <w:pPr>
              <w:ind w:left="0" w:firstLine="0"/>
              <w:jc w:val="left"/>
              <w:rPr>
                <w:rFonts w:ascii="Arial Narrow" w:hAnsi="Arial Narrow"/>
                <w:sz w:val="20"/>
              </w:rPr>
            </w:pPr>
          </w:p>
        </w:tc>
        <w:tc>
          <w:tcPr>
            <w:tcW w:w="3119" w:type="dxa"/>
            <w:tcBorders>
              <w:top w:val="nil"/>
              <w:left w:val="nil"/>
              <w:bottom w:val="nil"/>
              <w:right w:val="nil"/>
            </w:tcBorders>
            <w:tcMar>
              <w:left w:w="85" w:type="dxa"/>
              <w:right w:w="85" w:type="dxa"/>
            </w:tcMar>
          </w:tcPr>
          <w:p w:rsidR="00E87DBE" w:rsidRPr="00E87DBE" w:rsidRDefault="00E87DBE" w:rsidP="00E87DBE">
            <w:pPr>
              <w:ind w:left="0" w:firstLine="0"/>
              <w:jc w:val="left"/>
              <w:rPr>
                <w:rFonts w:ascii="Arial Narrow" w:hAnsi="Arial Narrow"/>
                <w:sz w:val="20"/>
              </w:rPr>
            </w:pPr>
          </w:p>
        </w:tc>
      </w:tr>
      <w:tr w:rsidR="00E87DBE" w:rsidRPr="00E87DBE" w:rsidTr="008E0497">
        <w:trPr>
          <w:cantSplit/>
        </w:trPr>
        <w:tc>
          <w:tcPr>
            <w:tcW w:w="284" w:type="dxa"/>
            <w:tcBorders>
              <w:top w:val="nil"/>
              <w:left w:val="nil"/>
              <w:bottom w:val="nil"/>
              <w:right w:val="nil"/>
            </w:tcBorders>
          </w:tcPr>
          <w:p w:rsidR="00E87DBE" w:rsidRPr="00E87DBE" w:rsidRDefault="00E87DBE" w:rsidP="00E87DBE">
            <w:pPr>
              <w:numPr>
                <w:ilvl w:val="0"/>
                <w:numId w:val="15"/>
              </w:numPr>
              <w:tabs>
                <w:tab w:val="left" w:pos="150"/>
              </w:tabs>
              <w:ind w:left="0" w:firstLine="0"/>
              <w:jc w:val="left"/>
              <w:rPr>
                <w:rFonts w:ascii="Arial Narrow" w:hAnsi="Arial Narrow"/>
                <w:color w:val="000000"/>
                <w:sz w:val="20"/>
                <w:lang w:val="en-AU"/>
              </w:rPr>
            </w:pPr>
            <w:bookmarkStart w:id="3" w:name="_Ref349136638"/>
          </w:p>
        </w:tc>
        <w:bookmarkEnd w:id="3"/>
        <w:tc>
          <w:tcPr>
            <w:tcW w:w="5670" w:type="dxa"/>
            <w:tcBorders>
              <w:top w:val="nil"/>
              <w:left w:val="nil"/>
              <w:bottom w:val="nil"/>
              <w:right w:val="nil"/>
            </w:tcBorders>
            <w:tcMar>
              <w:right w:w="85" w:type="dxa"/>
            </w:tcMar>
          </w:tcPr>
          <w:p w:rsidR="00E87DBE" w:rsidRPr="00E87DBE" w:rsidRDefault="00584B29" w:rsidP="005C54C2">
            <w:pPr>
              <w:ind w:left="0" w:firstLine="0"/>
              <w:jc w:val="left"/>
              <w:rPr>
                <w:rFonts w:ascii="Arial Narrow" w:hAnsi="Arial Narrow"/>
                <w:color w:val="000000"/>
                <w:sz w:val="20"/>
                <w:lang w:val="en-AU"/>
              </w:rPr>
            </w:pPr>
            <w:r>
              <w:rPr>
                <w:rFonts w:ascii="Arial Narrow" w:hAnsi="Arial Narrow"/>
                <w:color w:val="000000"/>
                <w:sz w:val="20"/>
                <w:lang w:val="en-AU"/>
              </w:rPr>
              <w:t>Evidence that the entity’s operating profit before income tax from ordinary activities for each of the last 3 full financi</w:t>
            </w:r>
            <w:r w:rsidR="00116F42">
              <w:rPr>
                <w:rFonts w:ascii="Arial Narrow" w:hAnsi="Arial Narrow"/>
                <w:color w:val="000000"/>
                <w:sz w:val="20"/>
                <w:lang w:val="en-AU"/>
              </w:rPr>
              <w:t>al years has been at least $200 </w:t>
            </w:r>
            <w:r>
              <w:rPr>
                <w:rFonts w:ascii="Arial Narrow" w:hAnsi="Arial Narrow"/>
                <w:color w:val="000000"/>
                <w:sz w:val="20"/>
                <w:lang w:val="en-AU"/>
              </w:rPr>
              <w:t>million (Listing Rule</w:t>
            </w:r>
            <w:r w:rsidR="005C54C2">
              <w:rPr>
                <w:rFonts w:ascii="Arial Narrow" w:hAnsi="Arial Narrow"/>
                <w:color w:val="000000"/>
                <w:sz w:val="20"/>
                <w:lang w:val="en-AU"/>
              </w:rPr>
              <w:t>s</w:t>
            </w:r>
            <w:r w:rsidR="006C2BB5">
              <w:rPr>
                <w:rFonts w:ascii="Arial Narrow" w:hAnsi="Arial Narrow"/>
                <w:color w:val="000000"/>
                <w:sz w:val="20"/>
                <w:lang w:val="en-AU"/>
              </w:rPr>
              <w:t> </w:t>
            </w:r>
            <w:r>
              <w:rPr>
                <w:rFonts w:ascii="Arial Narrow" w:hAnsi="Arial Narrow"/>
                <w:color w:val="000000"/>
                <w:sz w:val="20"/>
                <w:lang w:val="en-AU"/>
              </w:rPr>
              <w:t xml:space="preserve">1.12.2 and </w:t>
            </w:r>
            <w:r w:rsidR="005C54C2">
              <w:rPr>
                <w:rFonts w:ascii="Arial Narrow" w:hAnsi="Arial Narrow"/>
                <w:color w:val="000000"/>
                <w:sz w:val="20"/>
                <w:lang w:val="en-AU"/>
              </w:rPr>
              <w:t>1.</w:t>
            </w:r>
            <w:r w:rsidR="006C2BB5">
              <w:rPr>
                <w:rFonts w:ascii="Arial Narrow" w:hAnsi="Arial Narrow"/>
                <w:color w:val="000000"/>
                <w:sz w:val="20"/>
                <w:lang w:val="en-AU"/>
              </w:rPr>
              <w:t>12.3)</w:t>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rsidR="00E87DBE" w:rsidRPr="00E87DBE" w:rsidRDefault="00E87DBE" w:rsidP="00E87DBE">
            <w:pPr>
              <w:ind w:left="0" w:firstLine="0"/>
              <w:jc w:val="left"/>
              <w:rPr>
                <w:rFonts w:ascii="Arial Narrow" w:hAnsi="Arial Narrow"/>
                <w:color w:val="000000"/>
                <w:sz w:val="20"/>
                <w:lang w:val="en-AU"/>
              </w:rPr>
            </w:pPr>
          </w:p>
        </w:tc>
      </w:tr>
      <w:tr w:rsidR="00E87DBE" w:rsidRPr="00E87DBE" w:rsidTr="008E0497">
        <w:trPr>
          <w:cantSplit/>
        </w:trPr>
        <w:tc>
          <w:tcPr>
            <w:tcW w:w="284" w:type="dxa"/>
            <w:tcBorders>
              <w:top w:val="nil"/>
              <w:left w:val="nil"/>
              <w:bottom w:val="nil"/>
              <w:right w:val="nil"/>
            </w:tcBorders>
          </w:tcPr>
          <w:p w:rsidR="00E87DBE" w:rsidRPr="00E87DBE" w:rsidRDefault="00E87DBE" w:rsidP="00E87DBE">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E87DBE" w:rsidRPr="00E87DBE" w:rsidRDefault="00E87DBE" w:rsidP="00E87DBE">
            <w:pPr>
              <w:ind w:left="0" w:firstLine="0"/>
              <w:jc w:val="left"/>
              <w:rPr>
                <w:rFonts w:ascii="Arial Narrow" w:hAnsi="Arial Narrow"/>
                <w:sz w:val="20"/>
              </w:rPr>
            </w:pPr>
          </w:p>
        </w:tc>
        <w:tc>
          <w:tcPr>
            <w:tcW w:w="3119" w:type="dxa"/>
            <w:tcBorders>
              <w:top w:val="nil"/>
              <w:left w:val="nil"/>
              <w:bottom w:val="nil"/>
              <w:right w:val="nil"/>
            </w:tcBorders>
            <w:tcMar>
              <w:left w:w="85" w:type="dxa"/>
              <w:right w:w="85" w:type="dxa"/>
            </w:tcMar>
          </w:tcPr>
          <w:p w:rsidR="00E87DBE" w:rsidRPr="00E87DBE" w:rsidRDefault="00E87DBE" w:rsidP="00E87DBE">
            <w:pPr>
              <w:ind w:left="0" w:firstLine="0"/>
              <w:jc w:val="left"/>
              <w:rPr>
                <w:rFonts w:ascii="Arial Narrow" w:hAnsi="Arial Narrow"/>
                <w:sz w:val="20"/>
              </w:rPr>
            </w:pPr>
          </w:p>
        </w:tc>
      </w:tr>
      <w:tr w:rsidR="00E87DBE" w:rsidRPr="00E87DBE" w:rsidTr="008E0497">
        <w:trPr>
          <w:cantSplit/>
        </w:trPr>
        <w:tc>
          <w:tcPr>
            <w:tcW w:w="284" w:type="dxa"/>
            <w:tcBorders>
              <w:top w:val="nil"/>
              <w:left w:val="nil"/>
              <w:bottom w:val="nil"/>
              <w:right w:val="nil"/>
            </w:tcBorders>
          </w:tcPr>
          <w:p w:rsidR="00E87DBE" w:rsidRPr="00E87DBE" w:rsidRDefault="00E87DBE" w:rsidP="00E87DBE">
            <w:pPr>
              <w:numPr>
                <w:ilvl w:val="0"/>
                <w:numId w:val="15"/>
              </w:numPr>
              <w:tabs>
                <w:tab w:val="left" w:pos="150"/>
              </w:tabs>
              <w:ind w:left="0" w:firstLine="0"/>
              <w:jc w:val="left"/>
              <w:rPr>
                <w:rFonts w:ascii="Arial Narrow" w:hAnsi="Arial Narrow"/>
                <w:color w:val="000000"/>
                <w:sz w:val="20"/>
                <w:lang w:val="en-AU"/>
              </w:rPr>
            </w:pPr>
            <w:bookmarkStart w:id="4" w:name="_Ref382575034"/>
          </w:p>
        </w:tc>
        <w:bookmarkEnd w:id="4"/>
        <w:tc>
          <w:tcPr>
            <w:tcW w:w="5670" w:type="dxa"/>
            <w:tcBorders>
              <w:top w:val="nil"/>
              <w:left w:val="nil"/>
              <w:bottom w:val="nil"/>
              <w:right w:val="nil"/>
            </w:tcBorders>
            <w:tcMar>
              <w:right w:w="85" w:type="dxa"/>
            </w:tcMar>
          </w:tcPr>
          <w:p w:rsidR="00E87DBE" w:rsidRPr="00E87DBE" w:rsidRDefault="00584B29" w:rsidP="00584B29">
            <w:pPr>
              <w:ind w:left="0" w:firstLine="0"/>
              <w:jc w:val="left"/>
              <w:rPr>
                <w:rFonts w:ascii="Arial Narrow" w:hAnsi="Arial Narrow"/>
                <w:color w:val="000000"/>
                <w:sz w:val="20"/>
                <w:lang w:val="en-AU"/>
              </w:rPr>
            </w:pPr>
            <w:r>
              <w:rPr>
                <w:rFonts w:ascii="Arial Narrow" w:hAnsi="Arial Narrow"/>
                <w:color w:val="000000"/>
                <w:sz w:val="20"/>
                <w:lang w:val="en-AU"/>
              </w:rPr>
              <w:t>Audited accounts for the last 3 full financial years a</w:t>
            </w:r>
            <w:r w:rsidR="006C2BB5">
              <w:rPr>
                <w:rFonts w:ascii="Arial Narrow" w:hAnsi="Arial Narrow"/>
                <w:color w:val="000000"/>
                <w:sz w:val="20"/>
                <w:lang w:val="en-AU"/>
              </w:rPr>
              <w:t>nd audit reports (Listing Rules 1.11 Condition </w:t>
            </w:r>
            <w:r w:rsidR="00855069">
              <w:rPr>
                <w:rFonts w:ascii="Arial Narrow" w:hAnsi="Arial Narrow"/>
                <w:color w:val="000000"/>
                <w:sz w:val="20"/>
                <w:lang w:val="en-AU"/>
              </w:rPr>
              <w:t>6(b)</w:t>
            </w:r>
            <w:r>
              <w:rPr>
                <w:rFonts w:ascii="Arial Narrow" w:hAnsi="Arial Narrow"/>
                <w:color w:val="000000"/>
                <w:sz w:val="20"/>
                <w:lang w:val="en-AU"/>
              </w:rPr>
              <w:t xml:space="preserve"> and 1.12.4)</w:t>
            </w:r>
            <w:r w:rsidR="008B0637">
              <w:rPr>
                <w:rStyle w:val="FootnoteReference"/>
                <w:rFonts w:ascii="Arial Narrow" w:hAnsi="Arial Narrow"/>
                <w:color w:val="000000"/>
                <w:lang w:val="en-AU"/>
              </w:rPr>
              <w:footnoteReference w:id="5"/>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rsidR="00E87DBE" w:rsidRPr="00E87DBE" w:rsidRDefault="00E87DBE" w:rsidP="00E87DBE">
            <w:pPr>
              <w:ind w:left="0" w:firstLine="0"/>
              <w:jc w:val="left"/>
              <w:rPr>
                <w:rFonts w:ascii="Arial Narrow" w:hAnsi="Arial Narrow"/>
                <w:color w:val="000000"/>
                <w:sz w:val="20"/>
                <w:lang w:val="en-AU"/>
              </w:rPr>
            </w:pPr>
          </w:p>
        </w:tc>
      </w:tr>
      <w:tr w:rsidR="005C54C2" w:rsidRPr="00AF4322" w:rsidTr="008E0497">
        <w:trPr>
          <w:cantSplit/>
        </w:trPr>
        <w:tc>
          <w:tcPr>
            <w:tcW w:w="9073" w:type="dxa"/>
            <w:gridSpan w:val="3"/>
            <w:tcBorders>
              <w:top w:val="nil"/>
              <w:left w:val="nil"/>
              <w:bottom w:val="nil"/>
            </w:tcBorders>
            <w:tcMar>
              <w:left w:w="0" w:type="dxa"/>
              <w:right w:w="0" w:type="dxa"/>
            </w:tcMar>
          </w:tcPr>
          <w:p w:rsidR="005C54C2" w:rsidRPr="00AF4322" w:rsidRDefault="005C54C2" w:rsidP="005C54C2">
            <w:pPr>
              <w:pStyle w:val="Heading4"/>
              <w:keepNext/>
              <w:spacing w:before="240" w:after="240"/>
              <w:jc w:val="left"/>
              <w:rPr>
                <w:rFonts w:ascii="Arial Narrow" w:hAnsi="Arial Narrow"/>
              </w:rPr>
            </w:pPr>
            <w:r>
              <w:rPr>
                <w:rFonts w:ascii="Arial Narrow" w:hAnsi="Arial Narrow"/>
              </w:rPr>
              <w:t xml:space="preserve">Entities </w:t>
            </w:r>
            <w:r w:rsidRPr="00AF4322">
              <w:rPr>
                <w:rFonts w:ascii="Arial Narrow" w:hAnsi="Arial Narrow"/>
              </w:rPr>
              <w:t>a</w:t>
            </w:r>
            <w:r>
              <w:rPr>
                <w:rFonts w:ascii="Arial Narrow" w:hAnsi="Arial Narrow"/>
              </w:rPr>
              <w:t>pplying under</w:t>
            </w:r>
            <w:r w:rsidR="006C2BB5">
              <w:rPr>
                <w:rFonts w:ascii="Arial Narrow" w:hAnsi="Arial Narrow"/>
              </w:rPr>
              <w:t xml:space="preserve"> the net tangible assets test</w:t>
            </w:r>
          </w:p>
        </w:tc>
      </w:tr>
      <w:tr w:rsidR="00E87DBE" w:rsidRPr="00E87DBE" w:rsidTr="008E0497">
        <w:trPr>
          <w:cantSplit/>
        </w:trPr>
        <w:tc>
          <w:tcPr>
            <w:tcW w:w="284" w:type="dxa"/>
            <w:tcBorders>
              <w:top w:val="nil"/>
              <w:left w:val="nil"/>
              <w:bottom w:val="nil"/>
              <w:right w:val="nil"/>
            </w:tcBorders>
          </w:tcPr>
          <w:p w:rsidR="00E87DBE" w:rsidRPr="00E87DBE" w:rsidRDefault="00E87DBE" w:rsidP="00E87DBE">
            <w:pPr>
              <w:numPr>
                <w:ilvl w:val="0"/>
                <w:numId w:val="15"/>
              </w:numPr>
              <w:tabs>
                <w:tab w:val="left" w:pos="150"/>
              </w:tabs>
              <w:ind w:left="0" w:firstLine="0"/>
              <w:jc w:val="left"/>
              <w:rPr>
                <w:rFonts w:ascii="Arial Narrow" w:hAnsi="Arial Narrow"/>
                <w:color w:val="000000"/>
                <w:sz w:val="20"/>
                <w:lang w:val="en-AU"/>
              </w:rPr>
            </w:pPr>
            <w:bookmarkStart w:id="5" w:name="_Ref349136811"/>
          </w:p>
        </w:tc>
        <w:bookmarkEnd w:id="5"/>
        <w:tc>
          <w:tcPr>
            <w:tcW w:w="5670" w:type="dxa"/>
            <w:tcBorders>
              <w:top w:val="nil"/>
              <w:left w:val="nil"/>
              <w:bottom w:val="nil"/>
              <w:right w:val="nil"/>
            </w:tcBorders>
            <w:tcMar>
              <w:right w:w="85" w:type="dxa"/>
            </w:tcMar>
          </w:tcPr>
          <w:p w:rsidR="00E87DBE" w:rsidRPr="00E87DBE" w:rsidRDefault="00584B29" w:rsidP="00855069">
            <w:pPr>
              <w:ind w:left="0" w:firstLine="0"/>
              <w:jc w:val="left"/>
              <w:rPr>
                <w:rFonts w:ascii="Arial Narrow" w:hAnsi="Arial Narrow"/>
                <w:color w:val="000000"/>
                <w:sz w:val="20"/>
                <w:lang w:val="en-AU"/>
              </w:rPr>
            </w:pPr>
            <w:r>
              <w:rPr>
                <w:rFonts w:ascii="Arial Narrow" w:hAnsi="Arial Narrow"/>
                <w:color w:val="000000"/>
                <w:sz w:val="20"/>
                <w:lang w:val="en-AU"/>
              </w:rPr>
              <w:t xml:space="preserve">Evidence that the entity has net tangible assets </w:t>
            </w:r>
            <w:r w:rsidR="00855069">
              <w:rPr>
                <w:rFonts w:ascii="Arial Narrow" w:hAnsi="Arial Narrow"/>
                <w:color w:val="000000"/>
                <w:sz w:val="20"/>
                <w:lang w:val="en-AU"/>
              </w:rPr>
              <w:t xml:space="preserve">or a market capitalisation </w:t>
            </w:r>
            <w:r w:rsidR="005C54C2">
              <w:rPr>
                <w:rFonts w:ascii="Arial Narrow" w:hAnsi="Arial Narrow"/>
                <w:color w:val="000000"/>
                <w:sz w:val="20"/>
                <w:lang w:val="en-AU"/>
              </w:rPr>
              <w:t xml:space="preserve">at the time of admission </w:t>
            </w:r>
            <w:r>
              <w:rPr>
                <w:rFonts w:ascii="Arial Narrow" w:hAnsi="Arial Narrow"/>
                <w:color w:val="000000"/>
                <w:sz w:val="20"/>
                <w:lang w:val="en-AU"/>
              </w:rPr>
              <w:t>of at lea</w:t>
            </w:r>
            <w:r w:rsidR="005C54C2">
              <w:rPr>
                <w:rFonts w:ascii="Arial Narrow" w:hAnsi="Arial Narrow"/>
                <w:color w:val="000000"/>
                <w:sz w:val="20"/>
                <w:lang w:val="en-AU"/>
              </w:rPr>
              <w:t>st $2,000 million (</w:t>
            </w:r>
            <w:r w:rsidR="006C2BB5">
              <w:rPr>
                <w:rFonts w:ascii="Arial Narrow" w:hAnsi="Arial Narrow"/>
                <w:color w:val="000000"/>
                <w:sz w:val="20"/>
                <w:lang w:val="en-AU"/>
              </w:rPr>
              <w:t>Listing Rules 1.11 Condition </w:t>
            </w:r>
            <w:r w:rsidR="00855069">
              <w:rPr>
                <w:rFonts w:ascii="Arial Narrow" w:hAnsi="Arial Narrow"/>
                <w:color w:val="000000"/>
                <w:sz w:val="20"/>
                <w:lang w:val="en-AU"/>
              </w:rPr>
              <w:t>6(b)</w:t>
            </w:r>
            <w:r w:rsidR="006C2BB5">
              <w:rPr>
                <w:rFonts w:ascii="Arial Narrow" w:hAnsi="Arial Narrow"/>
                <w:color w:val="000000"/>
                <w:sz w:val="20"/>
                <w:lang w:val="en-AU"/>
              </w:rPr>
              <w:t xml:space="preserve"> and </w:t>
            </w:r>
            <w:r>
              <w:rPr>
                <w:rFonts w:ascii="Arial Narrow" w:hAnsi="Arial Narrow"/>
                <w:color w:val="000000"/>
                <w:sz w:val="20"/>
                <w:lang w:val="en-AU"/>
              </w:rPr>
              <w:t>1.13)</w:t>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rsidR="00E87DBE" w:rsidRPr="00E87DBE" w:rsidRDefault="00E87DBE" w:rsidP="00E87DBE">
            <w:pPr>
              <w:ind w:left="0" w:firstLine="0"/>
              <w:jc w:val="left"/>
              <w:rPr>
                <w:rFonts w:ascii="Arial Narrow" w:hAnsi="Arial Narrow"/>
                <w:color w:val="000000"/>
                <w:sz w:val="20"/>
                <w:lang w:val="en-AU"/>
              </w:rPr>
            </w:pPr>
          </w:p>
        </w:tc>
      </w:tr>
      <w:tr w:rsidR="0069047D" w:rsidRPr="00AF4322" w:rsidTr="008E0497">
        <w:trPr>
          <w:cantSplit/>
        </w:trPr>
        <w:tc>
          <w:tcPr>
            <w:tcW w:w="9073" w:type="dxa"/>
            <w:gridSpan w:val="3"/>
            <w:tcBorders>
              <w:top w:val="nil"/>
              <w:left w:val="nil"/>
              <w:bottom w:val="nil"/>
            </w:tcBorders>
            <w:tcMar>
              <w:left w:w="0" w:type="dxa"/>
              <w:right w:w="0" w:type="dxa"/>
            </w:tcMar>
          </w:tcPr>
          <w:p w:rsidR="0069047D" w:rsidRPr="00AF4322" w:rsidRDefault="0069047D" w:rsidP="0069047D">
            <w:pPr>
              <w:pStyle w:val="Heading4"/>
              <w:keepNext/>
              <w:spacing w:before="240" w:after="240"/>
              <w:jc w:val="left"/>
              <w:rPr>
                <w:rFonts w:ascii="Arial Narrow" w:hAnsi="Arial Narrow"/>
              </w:rPr>
            </w:pPr>
            <w:r>
              <w:rPr>
                <w:rFonts w:ascii="Arial Narrow" w:hAnsi="Arial Narrow"/>
              </w:rPr>
              <w:t>Entities that are companies</w:t>
            </w:r>
          </w:p>
        </w:tc>
      </w:tr>
      <w:tr w:rsidR="0069047D" w:rsidRPr="00AF4322" w:rsidTr="008E0497">
        <w:trPr>
          <w:cantSplit/>
        </w:trPr>
        <w:tc>
          <w:tcPr>
            <w:tcW w:w="284" w:type="dxa"/>
            <w:tcBorders>
              <w:top w:val="nil"/>
              <w:left w:val="nil"/>
              <w:bottom w:val="nil"/>
              <w:right w:val="nil"/>
            </w:tcBorders>
          </w:tcPr>
          <w:p w:rsidR="0069047D" w:rsidRPr="00AF4322" w:rsidRDefault="0069047D" w:rsidP="00A43EF8">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69047D" w:rsidRPr="00AF4322" w:rsidRDefault="0069047D" w:rsidP="00C83927">
            <w:pPr>
              <w:pStyle w:val="boxstyle"/>
              <w:jc w:val="left"/>
              <w:rPr>
                <w:rFonts w:ascii="Arial Narrow" w:hAnsi="Arial Narrow"/>
              </w:rPr>
            </w:pPr>
            <w:r>
              <w:rPr>
                <w:rFonts w:ascii="Arial Narrow" w:hAnsi="Arial Narrow"/>
              </w:rPr>
              <w:t xml:space="preserve">Evidence that the entity is registered as a foreign company carrying on business in Australia </w:t>
            </w:r>
            <w:r w:rsidR="00C83927">
              <w:rPr>
                <w:rFonts w:ascii="Arial Narrow" w:hAnsi="Arial Narrow"/>
              </w:rPr>
              <w:t xml:space="preserve">under the Corporations Act </w:t>
            </w:r>
            <w:r>
              <w:rPr>
                <w:rFonts w:ascii="Arial Narrow" w:hAnsi="Arial Narrow"/>
              </w:rPr>
              <w:t>(Listing Rule 1.11 Condition 7)</w:t>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rsidR="0069047D" w:rsidRPr="00AF4322" w:rsidRDefault="0069047D" w:rsidP="00A43EF8">
            <w:pPr>
              <w:pStyle w:val="boxstyle"/>
              <w:jc w:val="left"/>
              <w:rPr>
                <w:rFonts w:ascii="Arial Narrow" w:hAnsi="Arial Narrow"/>
              </w:rPr>
            </w:pPr>
          </w:p>
        </w:tc>
      </w:tr>
      <w:tr w:rsidR="0009683D" w:rsidRPr="00AF4322" w:rsidTr="008E0497">
        <w:trPr>
          <w:cantSplit/>
        </w:trPr>
        <w:tc>
          <w:tcPr>
            <w:tcW w:w="9073" w:type="dxa"/>
            <w:gridSpan w:val="3"/>
            <w:tcBorders>
              <w:top w:val="nil"/>
              <w:left w:val="nil"/>
              <w:bottom w:val="nil"/>
            </w:tcBorders>
            <w:tcMar>
              <w:left w:w="0" w:type="dxa"/>
              <w:right w:w="0" w:type="dxa"/>
            </w:tcMar>
          </w:tcPr>
          <w:p w:rsidR="0009683D" w:rsidRPr="00AF4322" w:rsidRDefault="00CA098E" w:rsidP="00584B29">
            <w:pPr>
              <w:pStyle w:val="Heading4"/>
              <w:keepNext/>
              <w:spacing w:before="240" w:after="240"/>
              <w:jc w:val="left"/>
              <w:rPr>
                <w:rFonts w:ascii="Arial Narrow" w:hAnsi="Arial Narrow"/>
              </w:rPr>
            </w:pPr>
            <w:r>
              <w:rPr>
                <w:rFonts w:ascii="Arial Narrow" w:hAnsi="Arial Narrow"/>
              </w:rPr>
              <w:t xml:space="preserve">Entities </w:t>
            </w:r>
            <w:r w:rsidR="00584B29">
              <w:rPr>
                <w:rFonts w:ascii="Arial Narrow" w:hAnsi="Arial Narrow"/>
              </w:rPr>
              <w:t>that are trusts</w:t>
            </w:r>
          </w:p>
        </w:tc>
      </w:tr>
      <w:tr w:rsidR="0009683D" w:rsidRPr="00AF4322" w:rsidTr="008E0497">
        <w:trPr>
          <w:cantSplit/>
        </w:trPr>
        <w:tc>
          <w:tcPr>
            <w:tcW w:w="284" w:type="dxa"/>
            <w:tcBorders>
              <w:top w:val="nil"/>
              <w:left w:val="nil"/>
              <w:bottom w:val="nil"/>
              <w:right w:val="nil"/>
            </w:tcBorders>
          </w:tcPr>
          <w:p w:rsidR="0009683D" w:rsidRPr="00AF4322" w:rsidRDefault="0009683D" w:rsidP="000038DE">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09683D" w:rsidRPr="00AF4322" w:rsidRDefault="00817BC5" w:rsidP="00817BC5">
            <w:pPr>
              <w:pStyle w:val="boxstyle"/>
              <w:jc w:val="left"/>
              <w:rPr>
                <w:rFonts w:ascii="Arial Narrow" w:hAnsi="Arial Narrow"/>
              </w:rPr>
            </w:pPr>
            <w:r>
              <w:rPr>
                <w:rFonts w:ascii="Arial Narrow" w:hAnsi="Arial Narrow"/>
              </w:rPr>
              <w:t>Evidence that the entity is a registered managed investment scheme or has an exemption from ASIC from that requirement (Listing Rule 1.11 Condition 8(a))</w:t>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rsidR="0009683D" w:rsidRPr="00AF4322" w:rsidRDefault="0009683D" w:rsidP="000038DE">
            <w:pPr>
              <w:pStyle w:val="boxstyle"/>
              <w:jc w:val="left"/>
              <w:rPr>
                <w:rFonts w:ascii="Arial Narrow" w:hAnsi="Arial Narrow"/>
              </w:rPr>
            </w:pPr>
          </w:p>
        </w:tc>
      </w:tr>
      <w:tr w:rsidR="00817BC5" w:rsidRPr="00E87DBE" w:rsidTr="00A43EF8">
        <w:trPr>
          <w:cantSplit/>
        </w:trPr>
        <w:tc>
          <w:tcPr>
            <w:tcW w:w="284" w:type="dxa"/>
            <w:tcBorders>
              <w:top w:val="nil"/>
              <w:left w:val="nil"/>
              <w:bottom w:val="nil"/>
              <w:right w:val="nil"/>
            </w:tcBorders>
          </w:tcPr>
          <w:p w:rsidR="00817BC5" w:rsidRPr="00E87DBE" w:rsidRDefault="00817BC5" w:rsidP="00A43EF8">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817BC5" w:rsidRPr="00E87DBE" w:rsidRDefault="00817BC5" w:rsidP="00A43EF8">
            <w:pPr>
              <w:ind w:left="0" w:firstLine="0"/>
              <w:jc w:val="left"/>
              <w:rPr>
                <w:rFonts w:ascii="Arial Narrow" w:hAnsi="Arial Narrow"/>
                <w:sz w:val="20"/>
              </w:rPr>
            </w:pPr>
          </w:p>
        </w:tc>
        <w:tc>
          <w:tcPr>
            <w:tcW w:w="3119" w:type="dxa"/>
            <w:tcBorders>
              <w:top w:val="nil"/>
              <w:left w:val="nil"/>
              <w:bottom w:val="nil"/>
              <w:right w:val="nil"/>
            </w:tcBorders>
            <w:tcMar>
              <w:left w:w="85" w:type="dxa"/>
              <w:right w:w="85" w:type="dxa"/>
            </w:tcMar>
          </w:tcPr>
          <w:p w:rsidR="00817BC5" w:rsidRPr="00E87DBE" w:rsidRDefault="00817BC5" w:rsidP="00A43EF8">
            <w:pPr>
              <w:ind w:left="0" w:firstLine="0"/>
              <w:jc w:val="left"/>
              <w:rPr>
                <w:rFonts w:ascii="Arial Narrow" w:hAnsi="Arial Narrow"/>
                <w:sz w:val="20"/>
              </w:rPr>
            </w:pPr>
          </w:p>
        </w:tc>
      </w:tr>
      <w:tr w:rsidR="00817BC5" w:rsidRPr="00817BC5" w:rsidTr="00A43EF8">
        <w:trPr>
          <w:cantSplit/>
        </w:trPr>
        <w:tc>
          <w:tcPr>
            <w:tcW w:w="284" w:type="dxa"/>
            <w:tcBorders>
              <w:top w:val="nil"/>
              <w:left w:val="nil"/>
              <w:bottom w:val="nil"/>
              <w:right w:val="nil"/>
            </w:tcBorders>
          </w:tcPr>
          <w:p w:rsidR="00817BC5" w:rsidRPr="00817BC5" w:rsidRDefault="00817BC5" w:rsidP="00A43EF8">
            <w:pPr>
              <w:numPr>
                <w:ilvl w:val="0"/>
                <w:numId w:val="15"/>
              </w:numPr>
              <w:tabs>
                <w:tab w:val="left" w:pos="150"/>
              </w:tabs>
              <w:ind w:left="0" w:firstLine="0"/>
              <w:jc w:val="left"/>
              <w:rPr>
                <w:rFonts w:ascii="Arial Narrow" w:hAnsi="Arial Narrow"/>
                <w:color w:val="000000"/>
                <w:sz w:val="20"/>
                <w:lang w:val="en-AU"/>
              </w:rPr>
            </w:pPr>
          </w:p>
        </w:tc>
        <w:tc>
          <w:tcPr>
            <w:tcW w:w="5670" w:type="dxa"/>
            <w:tcBorders>
              <w:top w:val="nil"/>
              <w:left w:val="nil"/>
              <w:bottom w:val="nil"/>
              <w:right w:val="nil"/>
            </w:tcBorders>
            <w:tcMar>
              <w:right w:w="85" w:type="dxa"/>
            </w:tcMar>
          </w:tcPr>
          <w:p w:rsidR="00817BC5" w:rsidRPr="00817BC5" w:rsidRDefault="00817BC5" w:rsidP="00A43EF8">
            <w:pPr>
              <w:ind w:left="0" w:firstLine="0"/>
              <w:jc w:val="left"/>
              <w:rPr>
                <w:rFonts w:ascii="Arial Narrow" w:hAnsi="Arial Narrow"/>
                <w:color w:val="000000"/>
                <w:sz w:val="20"/>
                <w:lang w:val="en-AU"/>
              </w:rPr>
            </w:pPr>
            <w:r w:rsidRPr="00817BC5">
              <w:rPr>
                <w:rFonts w:ascii="Arial Narrow" w:hAnsi="Arial Narrow"/>
                <w:sz w:val="20"/>
              </w:rPr>
              <w:t>If the entity is exempted from the requirement to be a registered managed investment scheme, evidence that its responsible entity is either an Australian company or registered as a foreign company carrying on business in Australia under the Corporations Act (Listing Rule 1.11</w:t>
            </w:r>
            <w:r>
              <w:rPr>
                <w:rFonts w:ascii="Arial Narrow" w:hAnsi="Arial Narrow"/>
                <w:sz w:val="20"/>
              </w:rPr>
              <w:t xml:space="preserve"> Condition 8</w:t>
            </w:r>
            <w:r w:rsidRPr="00817BC5">
              <w:rPr>
                <w:rFonts w:ascii="Arial Narrow" w:hAnsi="Arial Narrow"/>
                <w:sz w:val="20"/>
              </w:rPr>
              <w:t>(b))</w:t>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rsidR="00817BC5" w:rsidRPr="00817BC5" w:rsidRDefault="00817BC5" w:rsidP="00A43EF8">
            <w:pPr>
              <w:ind w:left="0" w:firstLine="0"/>
              <w:jc w:val="left"/>
              <w:rPr>
                <w:rFonts w:ascii="Arial Narrow" w:hAnsi="Arial Narrow"/>
                <w:color w:val="000000"/>
                <w:sz w:val="20"/>
                <w:lang w:val="en-AU"/>
              </w:rPr>
            </w:pPr>
          </w:p>
        </w:tc>
      </w:tr>
    </w:tbl>
    <w:p w:rsidR="00E87DBE" w:rsidRPr="00E87DBE" w:rsidRDefault="00E87DBE" w:rsidP="00F64557">
      <w:pPr>
        <w:rPr>
          <w:rFonts w:ascii="Arial Narrow" w:hAnsi="Arial Narrow"/>
        </w:rPr>
      </w:pPr>
    </w:p>
    <w:sectPr w:rsidR="00E87DBE" w:rsidRPr="00E87DBE" w:rsidSect="006C1DB4">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851" w:left="1418" w:header="709" w:footer="567"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66C" w:rsidRDefault="005A766C">
      <w:r>
        <w:separator/>
      </w:r>
    </w:p>
  </w:endnote>
  <w:endnote w:type="continuationSeparator" w:id="0">
    <w:p w:rsidR="005A766C" w:rsidRDefault="005A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Cn BT">
    <w:altName w:val="Arial Narrow"/>
    <w:charset w:val="00"/>
    <w:family w:val="swiss"/>
    <w:pitch w:val="variable"/>
    <w:sig w:usb0="00000001" w:usb1="00000000" w:usb2="00000000" w:usb3="00000000" w:csb0="0000001B" w:csb1="00000000"/>
  </w:font>
  <w:font w:name="ClassGarmnd BT">
    <w:altName w:val="Constantia"/>
    <w:charset w:val="00"/>
    <w:family w:val="roman"/>
    <w:pitch w:val="variable"/>
    <w:sig w:usb0="00000001"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205" w:rsidRPr="00C174F4" w:rsidRDefault="00BD3205" w:rsidP="00C174F4">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205" w:rsidRPr="00906E5B" w:rsidRDefault="006178A8" w:rsidP="006C1DB4">
    <w:pPr>
      <w:pStyle w:val="GNFooter"/>
      <w:pBdr>
        <w:top w:val="single" w:sz="4" w:space="1" w:color="auto"/>
      </w:pBdr>
      <w:spacing w:before="180"/>
      <w:rPr>
        <w:rFonts w:ascii="Arial Narrow" w:hAnsi="Arial Narrow"/>
      </w:rPr>
    </w:pPr>
    <w:r>
      <w:rPr>
        <w:rFonts w:ascii="Arial Narrow" w:hAnsi="Arial Narrow"/>
      </w:rPr>
      <w:t xml:space="preserve">ASX </w:t>
    </w:r>
    <w:r w:rsidRPr="00F70C41">
      <w:rPr>
        <w:rFonts w:ascii="Arial Narrow" w:hAnsi="Arial Narrow"/>
      </w:rPr>
      <w:t>Foreign Exempt Listing</w:t>
    </w:r>
    <w:r>
      <w:rPr>
        <w:rFonts w:ascii="Arial Narrow" w:hAnsi="Arial Narrow"/>
      </w:rPr>
      <w:t xml:space="preserve"> Information Form and </w:t>
    </w:r>
    <w:r w:rsidRPr="004B7F13">
      <w:rPr>
        <w:rFonts w:ascii="Arial Narrow" w:hAnsi="Arial Narrow"/>
      </w:rPr>
      <w:t xml:space="preserve">Checklist </w:t>
    </w:r>
    <w:r w:rsidR="006E7350">
      <w:rPr>
        <w:rFonts w:ascii="Arial Narrow" w:hAnsi="Arial Narrow"/>
      </w:rPr>
      <w:t>Annexure 1</w:t>
    </w:r>
    <w:r>
      <w:rPr>
        <w:rFonts w:ascii="Arial Narrow" w:hAnsi="Arial Narrow"/>
      </w:rPr>
      <w:t xml:space="preserve"> </w:t>
    </w:r>
    <w:r w:rsidRPr="005B6D2B">
      <w:rPr>
        <w:rFonts w:ascii="Arial Narrow" w:hAnsi="Arial Narrow"/>
      </w:rPr>
      <w:t>(</w:t>
    </w:r>
    <w:r w:rsidR="00BA42C0">
      <w:rPr>
        <w:rFonts w:ascii="Arial Narrow" w:hAnsi="Arial Narrow"/>
      </w:rPr>
      <w:t>0</w:t>
    </w:r>
    <w:r w:rsidR="00C83927">
      <w:rPr>
        <w:rFonts w:ascii="Arial Narrow" w:hAnsi="Arial Narrow"/>
      </w:rPr>
      <w:t>1</w:t>
    </w:r>
    <w:r w:rsidRPr="005B6D2B">
      <w:rPr>
        <w:rFonts w:ascii="Arial Narrow" w:hAnsi="Arial Narrow"/>
      </w:rPr>
      <w:t>/</w:t>
    </w:r>
    <w:r w:rsidR="00C83927">
      <w:rPr>
        <w:rFonts w:ascii="Arial Narrow" w:hAnsi="Arial Narrow"/>
      </w:rPr>
      <w:t>1</w:t>
    </w:r>
    <w:r w:rsidR="00BA42C0">
      <w:rPr>
        <w:rFonts w:ascii="Arial Narrow" w:hAnsi="Arial Narrow"/>
      </w:rPr>
      <w:t>2</w:t>
    </w:r>
    <w:r w:rsidRPr="005B6D2B">
      <w:rPr>
        <w:rFonts w:ascii="Arial Narrow" w:hAnsi="Arial Narrow"/>
      </w:rPr>
      <w:t>/1</w:t>
    </w:r>
    <w:r w:rsidR="00BA42C0">
      <w:rPr>
        <w:rFonts w:ascii="Arial Narrow" w:hAnsi="Arial Narrow"/>
      </w:rPr>
      <w:t>9</w:t>
    </w:r>
    <w:r w:rsidRPr="005B6D2B">
      <w:rPr>
        <w:rFonts w:ascii="Arial Narrow" w:hAnsi="Arial Narrow"/>
      </w:rPr>
      <w:t>)</w:t>
    </w:r>
    <w:r w:rsidR="00977A08">
      <w:rPr>
        <w:rFonts w:ascii="Arial Narrow" w:hAnsi="Arial Narrow"/>
      </w:rPr>
      <w:tab/>
      <w:t xml:space="preserve">Page </w:t>
    </w:r>
    <w:r w:rsidR="00977A08">
      <w:rPr>
        <w:rStyle w:val="PageNumber"/>
        <w:rFonts w:ascii="Arial Narrow" w:hAnsi="Arial Narrow"/>
      </w:rPr>
      <w:fldChar w:fldCharType="begin"/>
    </w:r>
    <w:r w:rsidR="00977A08">
      <w:rPr>
        <w:rStyle w:val="PageNumber"/>
        <w:rFonts w:ascii="Arial Narrow" w:hAnsi="Arial Narrow"/>
      </w:rPr>
      <w:instrText xml:space="preserve"> PAGE </w:instrText>
    </w:r>
    <w:r w:rsidR="00977A08">
      <w:rPr>
        <w:rStyle w:val="PageNumber"/>
        <w:rFonts w:ascii="Arial Narrow" w:hAnsi="Arial Narrow"/>
      </w:rPr>
      <w:fldChar w:fldCharType="separate"/>
    </w:r>
    <w:r w:rsidR="00C95E5F">
      <w:rPr>
        <w:rStyle w:val="PageNumber"/>
        <w:rFonts w:ascii="Arial Narrow" w:hAnsi="Arial Narrow"/>
        <w:noProof/>
      </w:rPr>
      <w:t>1</w:t>
    </w:r>
    <w:r w:rsidR="00977A08">
      <w:rPr>
        <w:rStyle w:val="PageNumbe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2C0" w:rsidRDefault="00BA4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66C" w:rsidRPr="002A5E8D" w:rsidRDefault="005A766C">
      <w:pPr>
        <w:rPr>
          <w:rFonts w:ascii="Arial Narrow" w:hAnsi="Arial Narrow"/>
          <w:sz w:val="18"/>
          <w:szCs w:val="18"/>
        </w:rPr>
      </w:pPr>
      <w:r w:rsidRPr="002A5E8D">
        <w:rPr>
          <w:rFonts w:ascii="Arial Narrow" w:hAnsi="Arial Narrow"/>
          <w:sz w:val="18"/>
          <w:szCs w:val="18"/>
        </w:rPr>
        <w:separator/>
      </w:r>
    </w:p>
  </w:footnote>
  <w:footnote w:type="continuationSeparator" w:id="0">
    <w:p w:rsidR="005A766C" w:rsidRPr="002A5E8D" w:rsidRDefault="005A766C" w:rsidP="002A5E8D">
      <w:pPr>
        <w:rPr>
          <w:rFonts w:ascii="Arial Narrow" w:hAnsi="Arial Narrow"/>
          <w:sz w:val="18"/>
          <w:szCs w:val="18"/>
        </w:rPr>
      </w:pPr>
      <w:r w:rsidRPr="002A5E8D">
        <w:rPr>
          <w:rFonts w:ascii="Arial Narrow" w:hAnsi="Arial Narrow"/>
          <w:sz w:val="18"/>
          <w:szCs w:val="18"/>
        </w:rPr>
        <w:separator/>
      </w:r>
    </w:p>
  </w:footnote>
  <w:footnote w:type="continuationNotice" w:id="1">
    <w:p w:rsidR="005A766C" w:rsidRPr="002A5E8D" w:rsidRDefault="005A766C" w:rsidP="002A5E8D">
      <w:pPr>
        <w:jc w:val="right"/>
        <w:rPr>
          <w:rFonts w:ascii="Arial Narrow" w:hAnsi="Arial Narrow"/>
          <w:sz w:val="18"/>
          <w:szCs w:val="18"/>
          <w:lang w:val="en-AU"/>
        </w:rPr>
      </w:pPr>
      <w:r w:rsidRPr="002A5E8D">
        <w:rPr>
          <w:rFonts w:ascii="Arial Narrow" w:hAnsi="Arial Narrow"/>
          <w:sz w:val="18"/>
          <w:szCs w:val="18"/>
          <w:lang w:val="en-AU"/>
        </w:rPr>
        <w:t>/cont.</w:t>
      </w:r>
    </w:p>
  </w:footnote>
  <w:footnote w:id="2">
    <w:p w:rsidR="00B73E9A" w:rsidRDefault="00B73E9A" w:rsidP="00B73E9A">
      <w:pPr>
        <w:pStyle w:val="FootnoteText"/>
        <w:tabs>
          <w:tab w:val="left" w:pos="284"/>
        </w:tabs>
        <w:spacing w:after="60"/>
        <w:ind w:left="0" w:firstLine="0"/>
        <w:rPr>
          <w:rFonts w:ascii="Arial Narrow" w:hAnsi="Arial Narrow"/>
          <w:sz w:val="16"/>
          <w:szCs w:val="16"/>
          <w:lang w:val="en-AU"/>
        </w:rPr>
      </w:pPr>
      <w:r>
        <w:rPr>
          <w:rStyle w:val="FootnoteReference"/>
          <w:rFonts w:ascii="Arial Narrow" w:hAnsi="Arial Narrow"/>
          <w:szCs w:val="16"/>
          <w:vertAlign w:val="superscript"/>
        </w:rPr>
        <w:footnoteRef/>
      </w:r>
      <w:r>
        <w:rPr>
          <w:rFonts w:ascii="Arial Narrow" w:hAnsi="Arial Narrow"/>
          <w:sz w:val="16"/>
          <w:szCs w:val="16"/>
        </w:rPr>
        <w:tab/>
        <w:t>The concise summary is not intended to be a legal treatise on the laws of the entity’s home jurisdiction or a detailed comparative analysis of those laws with the laws of Australia. For those matters where the entity’s home jurisdiction has broadly comparable laws to Australia, a statement to that effect will generally suffice.</w:t>
      </w:r>
    </w:p>
  </w:footnote>
  <w:footnote w:id="3">
    <w:p w:rsidR="00B73E9A" w:rsidRDefault="00B73E9A" w:rsidP="00B73E9A">
      <w:pPr>
        <w:pStyle w:val="FootnoteText"/>
        <w:tabs>
          <w:tab w:val="left" w:pos="284"/>
        </w:tabs>
        <w:spacing w:after="60"/>
        <w:ind w:left="0" w:firstLine="0"/>
        <w:rPr>
          <w:rFonts w:ascii="Arial Narrow" w:hAnsi="Arial Narrow"/>
          <w:sz w:val="16"/>
          <w:szCs w:val="16"/>
          <w:lang w:val="en-AU"/>
        </w:rPr>
      </w:pPr>
      <w:r>
        <w:rPr>
          <w:rStyle w:val="FootnoteReference"/>
          <w:rFonts w:ascii="Arial Narrow" w:hAnsi="Arial Narrow"/>
          <w:szCs w:val="16"/>
          <w:vertAlign w:val="superscript"/>
        </w:rPr>
        <w:footnoteRef/>
      </w:r>
      <w:r>
        <w:rPr>
          <w:rFonts w:ascii="Arial Narrow" w:hAnsi="Arial Narrow"/>
          <w:sz w:val="16"/>
          <w:szCs w:val="16"/>
        </w:rPr>
        <w:tab/>
        <w:t>See note </w:t>
      </w:r>
      <w:r>
        <w:rPr>
          <w:rFonts w:ascii="Arial Narrow" w:hAnsi="Arial Narrow"/>
          <w:sz w:val="16"/>
          <w:szCs w:val="16"/>
        </w:rPr>
        <w:fldChar w:fldCharType="begin"/>
      </w:r>
      <w:r>
        <w:rPr>
          <w:rFonts w:ascii="Arial Narrow" w:hAnsi="Arial Narrow"/>
          <w:sz w:val="16"/>
          <w:szCs w:val="16"/>
        </w:rPr>
        <w:instrText xml:space="preserve"> NOTEREF _Ref349320091 \h  \* MERGEFORMAT </w:instrText>
      </w:r>
      <w:r>
        <w:rPr>
          <w:rFonts w:ascii="Arial Narrow" w:hAnsi="Arial Narrow"/>
          <w:sz w:val="16"/>
          <w:szCs w:val="16"/>
        </w:rPr>
      </w:r>
      <w:r>
        <w:rPr>
          <w:rFonts w:ascii="Arial Narrow" w:hAnsi="Arial Narrow"/>
          <w:sz w:val="16"/>
          <w:szCs w:val="16"/>
        </w:rPr>
        <w:fldChar w:fldCharType="separate"/>
      </w:r>
      <w:r w:rsidR="008B2F84">
        <w:rPr>
          <w:rFonts w:ascii="Arial Narrow" w:hAnsi="Arial Narrow"/>
          <w:sz w:val="16"/>
          <w:szCs w:val="16"/>
        </w:rPr>
        <w:t>1</w:t>
      </w:r>
      <w:r>
        <w:rPr>
          <w:rFonts w:ascii="Arial Narrow" w:hAnsi="Arial Narrow"/>
          <w:sz w:val="16"/>
          <w:szCs w:val="16"/>
        </w:rPr>
        <w:fldChar w:fldCharType="end"/>
      </w:r>
      <w:r>
        <w:rPr>
          <w:rFonts w:ascii="Arial Narrow" w:hAnsi="Arial Narrow"/>
          <w:sz w:val="16"/>
          <w:szCs w:val="16"/>
        </w:rPr>
        <w:t xml:space="preserve"> above.</w:t>
      </w:r>
    </w:p>
  </w:footnote>
  <w:footnote w:id="4">
    <w:p w:rsidR="006E7350" w:rsidRDefault="006E7350" w:rsidP="006E7350">
      <w:pPr>
        <w:pStyle w:val="FootnoteText"/>
        <w:tabs>
          <w:tab w:val="left" w:pos="284"/>
        </w:tabs>
        <w:spacing w:after="60"/>
        <w:ind w:left="0" w:firstLine="0"/>
        <w:rPr>
          <w:rFonts w:ascii="Arial Narrow" w:hAnsi="Arial Narrow"/>
          <w:sz w:val="16"/>
          <w:szCs w:val="16"/>
          <w:lang w:val="en-AU"/>
        </w:rPr>
      </w:pPr>
      <w:r>
        <w:rPr>
          <w:rStyle w:val="FootnoteReference"/>
          <w:rFonts w:ascii="Arial Narrow" w:hAnsi="Arial Narrow"/>
          <w:szCs w:val="16"/>
          <w:vertAlign w:val="superscript"/>
        </w:rPr>
        <w:footnoteRef/>
      </w:r>
      <w:r>
        <w:rPr>
          <w:rFonts w:ascii="Arial Narrow" w:hAnsi="Arial Narrow"/>
          <w:sz w:val="16"/>
          <w:szCs w:val="16"/>
        </w:rPr>
        <w:tab/>
        <w:t>See note </w:t>
      </w:r>
      <w:r>
        <w:rPr>
          <w:rFonts w:ascii="Arial Narrow" w:hAnsi="Arial Narrow"/>
          <w:sz w:val="16"/>
          <w:szCs w:val="16"/>
        </w:rPr>
        <w:fldChar w:fldCharType="begin"/>
      </w:r>
      <w:r>
        <w:rPr>
          <w:rFonts w:ascii="Arial Narrow" w:hAnsi="Arial Narrow"/>
          <w:sz w:val="16"/>
          <w:szCs w:val="16"/>
        </w:rPr>
        <w:instrText xml:space="preserve"> NOTEREF _Ref349320091 \h  \* MERGEFORMAT </w:instrText>
      </w:r>
      <w:r>
        <w:rPr>
          <w:rFonts w:ascii="Arial Narrow" w:hAnsi="Arial Narrow"/>
          <w:sz w:val="16"/>
          <w:szCs w:val="16"/>
        </w:rPr>
      </w:r>
      <w:r>
        <w:rPr>
          <w:rFonts w:ascii="Arial Narrow" w:hAnsi="Arial Narrow"/>
          <w:sz w:val="16"/>
          <w:szCs w:val="16"/>
        </w:rPr>
        <w:fldChar w:fldCharType="separate"/>
      </w:r>
      <w:r w:rsidR="008B2F84">
        <w:rPr>
          <w:rFonts w:ascii="Arial Narrow" w:hAnsi="Arial Narrow"/>
          <w:sz w:val="16"/>
          <w:szCs w:val="16"/>
        </w:rPr>
        <w:t>1</w:t>
      </w:r>
      <w:r>
        <w:rPr>
          <w:rFonts w:ascii="Arial Narrow" w:hAnsi="Arial Narrow"/>
          <w:sz w:val="16"/>
          <w:szCs w:val="16"/>
        </w:rPr>
        <w:fldChar w:fldCharType="end"/>
      </w:r>
      <w:r>
        <w:rPr>
          <w:rFonts w:ascii="Arial Narrow" w:hAnsi="Arial Narrow"/>
          <w:sz w:val="16"/>
          <w:szCs w:val="16"/>
        </w:rPr>
        <w:t xml:space="preserve"> above.</w:t>
      </w:r>
    </w:p>
  </w:footnote>
  <w:footnote w:id="5">
    <w:p w:rsidR="008B0637" w:rsidRPr="008B0637" w:rsidRDefault="008B0637" w:rsidP="00116F42">
      <w:pPr>
        <w:pStyle w:val="FootnoteText"/>
        <w:tabs>
          <w:tab w:val="left" w:pos="284"/>
        </w:tabs>
        <w:spacing w:after="60"/>
        <w:ind w:left="0" w:firstLine="0"/>
        <w:rPr>
          <w:rFonts w:ascii="Arial Narrow" w:hAnsi="Arial Narrow"/>
          <w:sz w:val="16"/>
          <w:szCs w:val="16"/>
          <w:lang w:val="en-AU"/>
        </w:rPr>
      </w:pPr>
      <w:r w:rsidRPr="008B0637">
        <w:rPr>
          <w:rStyle w:val="FootnoteReference"/>
          <w:rFonts w:ascii="Arial Narrow" w:hAnsi="Arial Narrow"/>
          <w:szCs w:val="16"/>
        </w:rPr>
        <w:footnoteRef/>
      </w:r>
      <w:r w:rsidR="00116F42">
        <w:rPr>
          <w:rFonts w:ascii="Arial Narrow" w:hAnsi="Arial Narrow"/>
          <w:sz w:val="16"/>
          <w:szCs w:val="16"/>
        </w:rPr>
        <w:tab/>
      </w:r>
      <w:r w:rsidRPr="008B0637">
        <w:rPr>
          <w:rFonts w:ascii="Arial Narrow" w:hAnsi="Arial Narrow"/>
          <w:sz w:val="16"/>
          <w:szCs w:val="16"/>
        </w:rPr>
        <w:t>The accounts must not have been qualified in a way that</w:t>
      </w:r>
      <w:r>
        <w:rPr>
          <w:rFonts w:ascii="Arial Narrow" w:hAnsi="Arial Narrow"/>
          <w:sz w:val="16"/>
          <w:szCs w:val="16"/>
        </w:rPr>
        <w:t xml:space="preserve"> goes to whether the entity can continue as a going concern or has satisfied the profit levels required. The entity’s accounts must have been prepared and audited to standards acceptable to ASX (Listing Rule</w:t>
      </w:r>
      <w:r w:rsidR="00116F42">
        <w:rPr>
          <w:rFonts w:ascii="Arial Narrow" w:hAnsi="Arial Narrow"/>
          <w:sz w:val="16"/>
          <w:szCs w:val="16"/>
        </w:rPr>
        <w:t xml:space="preserve"> 1.12.4).</w:t>
      </w:r>
      <w:r w:rsidR="00C86838">
        <w:rPr>
          <w:rFonts w:ascii="Arial Narrow" w:hAnsi="Arial Narrow"/>
          <w:sz w:val="16"/>
          <w:szCs w:val="16"/>
        </w:rPr>
        <w:t xml:space="preserve"> ASX</w:t>
      </w:r>
      <w:r>
        <w:rPr>
          <w:rFonts w:ascii="Arial Narrow" w:hAnsi="Arial Narrow"/>
          <w:sz w:val="16"/>
          <w:szCs w:val="16"/>
        </w:rPr>
        <w:t xml:space="preserve"> will accept for these purposes Australian Accounting Standards, International Financial Reporting Standards (IFRS) as ad</w:t>
      </w:r>
      <w:r w:rsidR="00C86838">
        <w:rPr>
          <w:rFonts w:ascii="Arial Narrow" w:hAnsi="Arial Narrow"/>
          <w:sz w:val="16"/>
          <w:szCs w:val="16"/>
        </w:rPr>
        <w:t>opted by the EU, or the accounti</w:t>
      </w:r>
      <w:r>
        <w:rPr>
          <w:rFonts w:ascii="Arial Narrow" w:hAnsi="Arial Narrow"/>
          <w:sz w:val="16"/>
          <w:szCs w:val="16"/>
        </w:rPr>
        <w:t>ng standards and generally</w:t>
      </w:r>
      <w:r w:rsidR="00C86838">
        <w:rPr>
          <w:rFonts w:ascii="Arial Narrow" w:hAnsi="Arial Narrow"/>
          <w:sz w:val="16"/>
          <w:szCs w:val="16"/>
        </w:rPr>
        <w:t xml:space="preserve"> accep</w:t>
      </w:r>
      <w:r>
        <w:rPr>
          <w:rFonts w:ascii="Arial Narrow" w:hAnsi="Arial Narrow"/>
          <w:sz w:val="16"/>
          <w:szCs w:val="16"/>
        </w:rPr>
        <w:t>ted</w:t>
      </w:r>
      <w:r w:rsidR="00C86838">
        <w:rPr>
          <w:rFonts w:ascii="Arial Narrow" w:hAnsi="Arial Narrow"/>
          <w:sz w:val="16"/>
          <w:szCs w:val="16"/>
        </w:rPr>
        <w:t xml:space="preserve"> accounting principles applied in </w:t>
      </w:r>
      <w:r w:rsidR="006E7350">
        <w:rPr>
          <w:rFonts w:ascii="Arial Narrow" w:hAnsi="Arial Narrow"/>
          <w:sz w:val="16"/>
          <w:szCs w:val="16"/>
        </w:rPr>
        <w:t xml:space="preserve">Bermuda, </w:t>
      </w:r>
      <w:r w:rsidR="00C86838">
        <w:rPr>
          <w:rFonts w:ascii="Arial Narrow" w:hAnsi="Arial Narrow"/>
          <w:sz w:val="16"/>
          <w:szCs w:val="16"/>
        </w:rPr>
        <w:t xml:space="preserve">Canada, </w:t>
      </w:r>
      <w:r w:rsidR="006E7350">
        <w:rPr>
          <w:rFonts w:ascii="Arial Narrow" w:hAnsi="Arial Narrow"/>
          <w:sz w:val="16"/>
          <w:szCs w:val="16"/>
        </w:rPr>
        <w:t xml:space="preserve">Cayman Islands, </w:t>
      </w:r>
      <w:r w:rsidR="00C86838">
        <w:rPr>
          <w:rFonts w:ascii="Arial Narrow" w:hAnsi="Arial Narrow"/>
          <w:sz w:val="16"/>
          <w:szCs w:val="16"/>
        </w:rPr>
        <w:t>Hong Kong, New Zealand, S</w:t>
      </w:r>
      <w:r w:rsidR="00116F42">
        <w:rPr>
          <w:rFonts w:ascii="Arial Narrow" w:hAnsi="Arial Narrow"/>
          <w:sz w:val="16"/>
          <w:szCs w:val="16"/>
        </w:rPr>
        <w:t xml:space="preserve">ingapore, South Africa or USA. </w:t>
      </w:r>
      <w:r w:rsidR="00C86838">
        <w:rPr>
          <w:rFonts w:ascii="Arial Narrow" w:hAnsi="Arial Narrow"/>
          <w:sz w:val="16"/>
          <w:szCs w:val="16"/>
        </w:rPr>
        <w:t>Otherwise, ASX must specifically agree to the accounting standar</w:t>
      </w:r>
      <w:r w:rsidR="00116F42">
        <w:rPr>
          <w:rFonts w:ascii="Arial Narrow" w:hAnsi="Arial Narrow"/>
          <w:sz w:val="16"/>
          <w:szCs w:val="16"/>
        </w:rPr>
        <w:t>ds that apply to the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2C0" w:rsidRDefault="00BA4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2C0" w:rsidRDefault="00BA4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2C0" w:rsidRDefault="00BA4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E636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5210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0028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764F0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C2A78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4FF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34B0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8C3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8094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B6A08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6567744"/>
    <w:lvl w:ilvl="0">
      <w:numFmt w:val="decimal"/>
      <w:lvlText w:val="*"/>
      <w:lvlJc w:val="left"/>
    </w:lvl>
  </w:abstractNum>
  <w:abstractNum w:abstractNumId="11" w15:restartNumberingAfterBreak="0">
    <w:nsid w:val="13CB7AB3"/>
    <w:multiLevelType w:val="hybridMultilevel"/>
    <w:tmpl w:val="D8F4C71E"/>
    <w:lvl w:ilvl="0" w:tplc="6CB4A0B4">
      <w:start w:val="1"/>
      <w:numFmt w:val="bullet"/>
      <w:lvlText w:val=""/>
      <w:lvlJc w:val="left"/>
      <w:pPr>
        <w:tabs>
          <w:tab w:val="num" w:pos="2290"/>
        </w:tabs>
        <w:ind w:left="2290" w:hanging="360"/>
      </w:pPr>
      <w:rPr>
        <w:rFonts w:ascii="Symbol" w:hAnsi="Symbol" w:hint="default"/>
      </w:rPr>
    </w:lvl>
    <w:lvl w:ilvl="1" w:tplc="04090003">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2" w15:restartNumberingAfterBreak="0">
    <w:nsid w:val="45BF7284"/>
    <w:multiLevelType w:val="singleLevel"/>
    <w:tmpl w:val="BD40FA6C"/>
    <w:lvl w:ilvl="0">
      <w:start w:val="1"/>
      <w:numFmt w:val="decimal"/>
      <w:lvlText w:val="%1. "/>
      <w:legacy w:legacy="1" w:legacySpace="0" w:legacyIndent="360"/>
      <w:lvlJc w:val="left"/>
      <w:pPr>
        <w:ind w:left="360" w:hanging="360"/>
      </w:pPr>
      <w:rPr>
        <w:rFonts w:ascii="Zurich Cn BT" w:hAnsi="Zurich Cn BT" w:hint="default"/>
        <w:b w:val="0"/>
        <w:i w:val="0"/>
        <w:sz w:val="20"/>
        <w:u w:val="none"/>
      </w:rPr>
    </w:lvl>
  </w:abstractNum>
  <w:abstractNum w:abstractNumId="13" w15:restartNumberingAfterBreak="0">
    <w:nsid w:val="60A021C1"/>
    <w:multiLevelType w:val="hybridMultilevel"/>
    <w:tmpl w:val="EF7C151E"/>
    <w:lvl w:ilvl="0" w:tplc="70F83D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5B648CD"/>
    <w:multiLevelType w:val="hybridMultilevel"/>
    <w:tmpl w:val="2D543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AB2484"/>
    <w:multiLevelType w:val="hybridMultilevel"/>
    <w:tmpl w:val="42AAE8B6"/>
    <w:lvl w:ilvl="0" w:tplc="0C090001">
      <w:start w:val="1"/>
      <w:numFmt w:val="bullet"/>
      <w:lvlText w:val=""/>
      <w:lvlJc w:val="left"/>
      <w:pPr>
        <w:ind w:left="757" w:hanging="360"/>
      </w:pPr>
      <w:rPr>
        <w:rFonts w:ascii="Symbol" w:hAnsi="Symbol" w:hint="default"/>
      </w:rPr>
    </w:lvl>
    <w:lvl w:ilvl="1" w:tplc="0C090003">
      <w:start w:val="1"/>
      <w:numFmt w:val="bullet"/>
      <w:lvlText w:val="o"/>
      <w:lvlJc w:val="left"/>
      <w:pPr>
        <w:ind w:left="1477" w:hanging="360"/>
      </w:pPr>
      <w:rPr>
        <w:rFonts w:ascii="Courier New" w:hAnsi="Courier New" w:cs="Courier New" w:hint="default"/>
      </w:rPr>
    </w:lvl>
    <w:lvl w:ilvl="2" w:tplc="0C090005">
      <w:start w:val="1"/>
      <w:numFmt w:val="bullet"/>
      <w:lvlText w:val=""/>
      <w:lvlJc w:val="left"/>
      <w:pPr>
        <w:ind w:left="2197" w:hanging="360"/>
      </w:pPr>
      <w:rPr>
        <w:rFonts w:ascii="Wingdings" w:hAnsi="Wingdings" w:hint="default"/>
      </w:rPr>
    </w:lvl>
    <w:lvl w:ilvl="3" w:tplc="0C090001">
      <w:start w:val="1"/>
      <w:numFmt w:val="bullet"/>
      <w:lvlText w:val=""/>
      <w:lvlJc w:val="left"/>
      <w:pPr>
        <w:ind w:left="2917" w:hanging="360"/>
      </w:pPr>
      <w:rPr>
        <w:rFonts w:ascii="Symbol" w:hAnsi="Symbol" w:hint="default"/>
      </w:rPr>
    </w:lvl>
    <w:lvl w:ilvl="4" w:tplc="0C090003">
      <w:start w:val="1"/>
      <w:numFmt w:val="bullet"/>
      <w:lvlText w:val="o"/>
      <w:lvlJc w:val="left"/>
      <w:pPr>
        <w:ind w:left="3637" w:hanging="360"/>
      </w:pPr>
      <w:rPr>
        <w:rFonts w:ascii="Courier New" w:hAnsi="Courier New" w:cs="Courier New" w:hint="default"/>
      </w:rPr>
    </w:lvl>
    <w:lvl w:ilvl="5" w:tplc="0C090005">
      <w:start w:val="1"/>
      <w:numFmt w:val="bullet"/>
      <w:lvlText w:val=""/>
      <w:lvlJc w:val="left"/>
      <w:pPr>
        <w:ind w:left="4357" w:hanging="360"/>
      </w:pPr>
      <w:rPr>
        <w:rFonts w:ascii="Wingdings" w:hAnsi="Wingdings" w:hint="default"/>
      </w:rPr>
    </w:lvl>
    <w:lvl w:ilvl="6" w:tplc="0C090001">
      <w:start w:val="1"/>
      <w:numFmt w:val="bullet"/>
      <w:lvlText w:val=""/>
      <w:lvlJc w:val="left"/>
      <w:pPr>
        <w:ind w:left="5077" w:hanging="360"/>
      </w:pPr>
      <w:rPr>
        <w:rFonts w:ascii="Symbol" w:hAnsi="Symbol" w:hint="default"/>
      </w:rPr>
    </w:lvl>
    <w:lvl w:ilvl="7" w:tplc="0C090003">
      <w:start w:val="1"/>
      <w:numFmt w:val="bullet"/>
      <w:lvlText w:val="o"/>
      <w:lvlJc w:val="left"/>
      <w:pPr>
        <w:ind w:left="5797" w:hanging="360"/>
      </w:pPr>
      <w:rPr>
        <w:rFonts w:ascii="Courier New" w:hAnsi="Courier New" w:cs="Courier New" w:hint="default"/>
      </w:rPr>
    </w:lvl>
    <w:lvl w:ilvl="8" w:tplc="0C090005">
      <w:start w:val="1"/>
      <w:numFmt w:val="bullet"/>
      <w:lvlText w:val=""/>
      <w:lvlJc w:val="left"/>
      <w:pPr>
        <w:ind w:left="6517" w:hanging="360"/>
      </w:pPr>
      <w:rPr>
        <w:rFonts w:ascii="Wingdings" w:hAnsi="Wingdings" w:hint="default"/>
      </w:rPr>
    </w:lvl>
  </w:abstractNum>
  <w:abstractNum w:abstractNumId="16" w15:restartNumberingAfterBreak="0">
    <w:nsid w:val="7854131F"/>
    <w:multiLevelType w:val="hybridMultilevel"/>
    <w:tmpl w:val="74B0207E"/>
    <w:lvl w:ilvl="0" w:tplc="2C66991C">
      <w:start w:val="1"/>
      <w:numFmt w:val="lowerLetter"/>
      <w:lvlText w:val="(%1)"/>
      <w:lvlJc w:val="left"/>
      <w:pPr>
        <w:ind w:left="930" w:hanging="570"/>
      </w:pPr>
      <w:rPr>
        <w:rFonts w:ascii="ClassGarmnd BT" w:hAnsi="ClassGarmnd BT"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lvlOverride w:ilvl="0">
      <w:lvl w:ilvl="0">
        <w:start w:val="1"/>
        <w:numFmt w:val="bullet"/>
        <w:lvlText w:val=""/>
        <w:legacy w:legacy="1" w:legacySpace="0" w:legacyIndent="283"/>
        <w:lvlJc w:val="left"/>
        <w:pPr>
          <w:ind w:left="1134" w:hanging="283"/>
        </w:pPr>
        <w:rPr>
          <w:rFonts w:ascii="Symbol" w:hAnsi="Symbol" w:hint="default"/>
          <w:sz w:val="20"/>
        </w:rPr>
      </w:lvl>
    </w:lvlOverride>
  </w:num>
  <w:num w:numId="3">
    <w:abstractNumId w:val="10"/>
    <w:lvlOverride w:ilvl="0">
      <w:lvl w:ilvl="0">
        <w:start w:val="1"/>
        <w:numFmt w:val="bullet"/>
        <w:lvlText w:val=""/>
        <w:legacy w:legacy="1" w:legacySpace="0" w:legacyIndent="851"/>
        <w:lvlJc w:val="left"/>
        <w:pPr>
          <w:ind w:left="1702" w:hanging="851"/>
        </w:pPr>
        <w:rPr>
          <w:rFonts w:ascii="Symbol" w:hAnsi="Symbol" w:hint="default"/>
        </w:rPr>
      </w:lvl>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4"/>
  </w:num>
  <w:num w:numId="17">
    <w:abstractNumId w:val="16"/>
  </w:num>
  <w:num w:numId="18">
    <w:abstractNumId w:val="12"/>
  </w:num>
  <w:num w:numId="19">
    <w:abstractNumId w:val="10"/>
    <w:lvlOverride w:ilvl="0">
      <w:lvl w:ilvl="0">
        <w:start w:val="1"/>
        <w:numFmt w:val="bullet"/>
        <w:lvlText w:val=""/>
        <w:legacy w:legacy="1" w:legacySpace="0" w:legacyIndent="170"/>
        <w:lvlJc w:val="left"/>
        <w:pPr>
          <w:ind w:left="630" w:hanging="170"/>
        </w:pPr>
        <w:rPr>
          <w:rFonts w:ascii="Symbol" w:hAnsi="Symbol" w:hint="default"/>
        </w:rPr>
      </w:lvl>
    </w:lvlOverride>
  </w:num>
  <w:num w:numId="20">
    <w:abstractNumId w:val="1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 w:id="1"/>
  </w:footnotePr>
  <w:endnotePr>
    <w:endnote w:id="-1"/>
    <w:endnote w:id="0"/>
  </w:endnotePr>
  <w:compat>
    <w:spaceForUL/>
    <w:balanceSingleByteDoubleByteWidth/>
    <w:doNotLeaveBackslashAlone/>
    <w:ulTrailSpace/>
    <w:doNotExpandShiftReturn/>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7D"/>
    <w:rsid w:val="000038DE"/>
    <w:rsid w:val="000279CE"/>
    <w:rsid w:val="00031BB4"/>
    <w:rsid w:val="00031BBE"/>
    <w:rsid w:val="000378EB"/>
    <w:rsid w:val="00037FCF"/>
    <w:rsid w:val="000449B1"/>
    <w:rsid w:val="0005294C"/>
    <w:rsid w:val="00055234"/>
    <w:rsid w:val="00056978"/>
    <w:rsid w:val="00063B46"/>
    <w:rsid w:val="00065A65"/>
    <w:rsid w:val="00074217"/>
    <w:rsid w:val="0009683D"/>
    <w:rsid w:val="000A48B7"/>
    <w:rsid w:val="000B0AC6"/>
    <w:rsid w:val="000B74E3"/>
    <w:rsid w:val="000E42B7"/>
    <w:rsid w:val="000E6CC9"/>
    <w:rsid w:val="000F23B6"/>
    <w:rsid w:val="00102F9D"/>
    <w:rsid w:val="00103CE8"/>
    <w:rsid w:val="00110544"/>
    <w:rsid w:val="001121EB"/>
    <w:rsid w:val="00116F42"/>
    <w:rsid w:val="001329E9"/>
    <w:rsid w:val="00140593"/>
    <w:rsid w:val="0014414B"/>
    <w:rsid w:val="00161D82"/>
    <w:rsid w:val="00165B27"/>
    <w:rsid w:val="00170EAA"/>
    <w:rsid w:val="001846B6"/>
    <w:rsid w:val="00184A4C"/>
    <w:rsid w:val="001965E6"/>
    <w:rsid w:val="001A7E85"/>
    <w:rsid w:val="001B68BB"/>
    <w:rsid w:val="001B7228"/>
    <w:rsid w:val="001B7DE0"/>
    <w:rsid w:val="001C463B"/>
    <w:rsid w:val="001C5F6F"/>
    <w:rsid w:val="001D0B5A"/>
    <w:rsid w:val="001D5525"/>
    <w:rsid w:val="001E08DF"/>
    <w:rsid w:val="001F155B"/>
    <w:rsid w:val="001F34A4"/>
    <w:rsid w:val="00203DC4"/>
    <w:rsid w:val="00207623"/>
    <w:rsid w:val="00211540"/>
    <w:rsid w:val="00220950"/>
    <w:rsid w:val="00227A8F"/>
    <w:rsid w:val="00234C05"/>
    <w:rsid w:val="002403B7"/>
    <w:rsid w:val="002424F5"/>
    <w:rsid w:val="0024727D"/>
    <w:rsid w:val="00273477"/>
    <w:rsid w:val="0029131D"/>
    <w:rsid w:val="002A18DF"/>
    <w:rsid w:val="002A5E8D"/>
    <w:rsid w:val="002C20C8"/>
    <w:rsid w:val="002D0CAB"/>
    <w:rsid w:val="002D374B"/>
    <w:rsid w:val="002E08EE"/>
    <w:rsid w:val="002E1616"/>
    <w:rsid w:val="002E451F"/>
    <w:rsid w:val="002F5598"/>
    <w:rsid w:val="003006E5"/>
    <w:rsid w:val="003160DE"/>
    <w:rsid w:val="0032076E"/>
    <w:rsid w:val="00324527"/>
    <w:rsid w:val="003516E1"/>
    <w:rsid w:val="003558B7"/>
    <w:rsid w:val="0036260B"/>
    <w:rsid w:val="00362D41"/>
    <w:rsid w:val="00366100"/>
    <w:rsid w:val="00393631"/>
    <w:rsid w:val="003A2A8B"/>
    <w:rsid w:val="003A6519"/>
    <w:rsid w:val="003C0344"/>
    <w:rsid w:val="003C21D5"/>
    <w:rsid w:val="003C6723"/>
    <w:rsid w:val="003C67DC"/>
    <w:rsid w:val="003D1092"/>
    <w:rsid w:val="003D17A5"/>
    <w:rsid w:val="003D2C10"/>
    <w:rsid w:val="003D3498"/>
    <w:rsid w:val="003E0740"/>
    <w:rsid w:val="003E235D"/>
    <w:rsid w:val="003F02FA"/>
    <w:rsid w:val="00427A14"/>
    <w:rsid w:val="004461B4"/>
    <w:rsid w:val="00446DD9"/>
    <w:rsid w:val="00460E47"/>
    <w:rsid w:val="00481349"/>
    <w:rsid w:val="00487E15"/>
    <w:rsid w:val="00491B89"/>
    <w:rsid w:val="004A53A2"/>
    <w:rsid w:val="004A7EC4"/>
    <w:rsid w:val="004B2CDC"/>
    <w:rsid w:val="004B7606"/>
    <w:rsid w:val="004D7C86"/>
    <w:rsid w:val="004F346E"/>
    <w:rsid w:val="004F7BB2"/>
    <w:rsid w:val="005258E2"/>
    <w:rsid w:val="00584B29"/>
    <w:rsid w:val="005A5A80"/>
    <w:rsid w:val="005A766C"/>
    <w:rsid w:val="005C5283"/>
    <w:rsid w:val="005C54C2"/>
    <w:rsid w:val="005E140A"/>
    <w:rsid w:val="005E2267"/>
    <w:rsid w:val="005F1A07"/>
    <w:rsid w:val="00607D65"/>
    <w:rsid w:val="00612DC7"/>
    <w:rsid w:val="00613E14"/>
    <w:rsid w:val="006178A8"/>
    <w:rsid w:val="006218AE"/>
    <w:rsid w:val="00631354"/>
    <w:rsid w:val="006336C2"/>
    <w:rsid w:val="006367B0"/>
    <w:rsid w:val="00645AA6"/>
    <w:rsid w:val="006641A5"/>
    <w:rsid w:val="00665208"/>
    <w:rsid w:val="006656F2"/>
    <w:rsid w:val="0068325B"/>
    <w:rsid w:val="00683DDA"/>
    <w:rsid w:val="0069047D"/>
    <w:rsid w:val="006920D2"/>
    <w:rsid w:val="006A0044"/>
    <w:rsid w:val="006A3FA2"/>
    <w:rsid w:val="006B2686"/>
    <w:rsid w:val="006C0963"/>
    <w:rsid w:val="006C1DB4"/>
    <w:rsid w:val="006C2BB5"/>
    <w:rsid w:val="006C69D8"/>
    <w:rsid w:val="006D284B"/>
    <w:rsid w:val="006D3584"/>
    <w:rsid w:val="006D5CD6"/>
    <w:rsid w:val="006E10AB"/>
    <w:rsid w:val="006E14BD"/>
    <w:rsid w:val="006E7350"/>
    <w:rsid w:val="00702A1D"/>
    <w:rsid w:val="00703FEB"/>
    <w:rsid w:val="007044FA"/>
    <w:rsid w:val="00704E40"/>
    <w:rsid w:val="0070776B"/>
    <w:rsid w:val="00714F58"/>
    <w:rsid w:val="007229A8"/>
    <w:rsid w:val="0073227E"/>
    <w:rsid w:val="00735AB5"/>
    <w:rsid w:val="007363DF"/>
    <w:rsid w:val="00753CBC"/>
    <w:rsid w:val="00763F2A"/>
    <w:rsid w:val="0076492F"/>
    <w:rsid w:val="00771371"/>
    <w:rsid w:val="00771F3A"/>
    <w:rsid w:val="00777B8C"/>
    <w:rsid w:val="0079544B"/>
    <w:rsid w:val="007B192B"/>
    <w:rsid w:val="007C4869"/>
    <w:rsid w:val="008001B1"/>
    <w:rsid w:val="00800D49"/>
    <w:rsid w:val="008031EA"/>
    <w:rsid w:val="00817BC5"/>
    <w:rsid w:val="00830A73"/>
    <w:rsid w:val="0083466F"/>
    <w:rsid w:val="00855069"/>
    <w:rsid w:val="00867940"/>
    <w:rsid w:val="00874B86"/>
    <w:rsid w:val="008810ED"/>
    <w:rsid w:val="00885F27"/>
    <w:rsid w:val="008B0637"/>
    <w:rsid w:val="008B2F84"/>
    <w:rsid w:val="008C1A98"/>
    <w:rsid w:val="008D34BE"/>
    <w:rsid w:val="008D5CE4"/>
    <w:rsid w:val="008E0497"/>
    <w:rsid w:val="00903B17"/>
    <w:rsid w:val="00906E5B"/>
    <w:rsid w:val="0091534C"/>
    <w:rsid w:val="00923465"/>
    <w:rsid w:val="00933834"/>
    <w:rsid w:val="0093652E"/>
    <w:rsid w:val="00947A7C"/>
    <w:rsid w:val="00950F8E"/>
    <w:rsid w:val="00970A91"/>
    <w:rsid w:val="00972038"/>
    <w:rsid w:val="00977075"/>
    <w:rsid w:val="00977A08"/>
    <w:rsid w:val="00991375"/>
    <w:rsid w:val="009A71CF"/>
    <w:rsid w:val="009D5C17"/>
    <w:rsid w:val="009D760C"/>
    <w:rsid w:val="009E13E1"/>
    <w:rsid w:val="009E1F35"/>
    <w:rsid w:val="00A02C04"/>
    <w:rsid w:val="00A04234"/>
    <w:rsid w:val="00A12C19"/>
    <w:rsid w:val="00A23F94"/>
    <w:rsid w:val="00A33DA8"/>
    <w:rsid w:val="00A445BD"/>
    <w:rsid w:val="00A44D22"/>
    <w:rsid w:val="00A44E39"/>
    <w:rsid w:val="00A470E9"/>
    <w:rsid w:val="00A53360"/>
    <w:rsid w:val="00A602D0"/>
    <w:rsid w:val="00A66AB0"/>
    <w:rsid w:val="00A82E20"/>
    <w:rsid w:val="00A8793B"/>
    <w:rsid w:val="00AA5FE4"/>
    <w:rsid w:val="00AD5C5F"/>
    <w:rsid w:val="00AE6552"/>
    <w:rsid w:val="00B04E17"/>
    <w:rsid w:val="00B15E54"/>
    <w:rsid w:val="00B2333D"/>
    <w:rsid w:val="00B36CD4"/>
    <w:rsid w:val="00B43E31"/>
    <w:rsid w:val="00B60813"/>
    <w:rsid w:val="00B73E9A"/>
    <w:rsid w:val="00B9331B"/>
    <w:rsid w:val="00BA37C2"/>
    <w:rsid w:val="00BA42C0"/>
    <w:rsid w:val="00BA6D86"/>
    <w:rsid w:val="00BB3456"/>
    <w:rsid w:val="00BD3205"/>
    <w:rsid w:val="00BE6D71"/>
    <w:rsid w:val="00BF3054"/>
    <w:rsid w:val="00BF74BE"/>
    <w:rsid w:val="00C03A96"/>
    <w:rsid w:val="00C0582B"/>
    <w:rsid w:val="00C12230"/>
    <w:rsid w:val="00C13283"/>
    <w:rsid w:val="00C17473"/>
    <w:rsid w:val="00C174F4"/>
    <w:rsid w:val="00C244D3"/>
    <w:rsid w:val="00C41E3F"/>
    <w:rsid w:val="00C44DE9"/>
    <w:rsid w:val="00C77F77"/>
    <w:rsid w:val="00C81454"/>
    <w:rsid w:val="00C81920"/>
    <w:rsid w:val="00C83927"/>
    <w:rsid w:val="00C86329"/>
    <w:rsid w:val="00C86838"/>
    <w:rsid w:val="00C87B20"/>
    <w:rsid w:val="00C95E5F"/>
    <w:rsid w:val="00C97EAF"/>
    <w:rsid w:val="00CA098E"/>
    <w:rsid w:val="00CA4F8B"/>
    <w:rsid w:val="00CB69C4"/>
    <w:rsid w:val="00CB7761"/>
    <w:rsid w:val="00CD7BB3"/>
    <w:rsid w:val="00CF29F5"/>
    <w:rsid w:val="00D2648C"/>
    <w:rsid w:val="00D278F2"/>
    <w:rsid w:val="00D56DD0"/>
    <w:rsid w:val="00D56ECD"/>
    <w:rsid w:val="00D6755D"/>
    <w:rsid w:val="00D7362E"/>
    <w:rsid w:val="00D7442F"/>
    <w:rsid w:val="00D86C8E"/>
    <w:rsid w:val="00D928A9"/>
    <w:rsid w:val="00DB5513"/>
    <w:rsid w:val="00DD1724"/>
    <w:rsid w:val="00E2330E"/>
    <w:rsid w:val="00E37447"/>
    <w:rsid w:val="00E56332"/>
    <w:rsid w:val="00E839C5"/>
    <w:rsid w:val="00E8489F"/>
    <w:rsid w:val="00E87DBE"/>
    <w:rsid w:val="00EA1248"/>
    <w:rsid w:val="00EA2387"/>
    <w:rsid w:val="00EA4DCB"/>
    <w:rsid w:val="00ED09F0"/>
    <w:rsid w:val="00EF0447"/>
    <w:rsid w:val="00EF5C5B"/>
    <w:rsid w:val="00F000C8"/>
    <w:rsid w:val="00F005C3"/>
    <w:rsid w:val="00F17805"/>
    <w:rsid w:val="00F507A9"/>
    <w:rsid w:val="00F56AA3"/>
    <w:rsid w:val="00F56CB7"/>
    <w:rsid w:val="00F6184F"/>
    <w:rsid w:val="00F64557"/>
    <w:rsid w:val="00F72D67"/>
    <w:rsid w:val="00F76FF3"/>
    <w:rsid w:val="00F82B19"/>
    <w:rsid w:val="00F82CC7"/>
    <w:rsid w:val="00F846CA"/>
    <w:rsid w:val="00F85B6A"/>
    <w:rsid w:val="00FA0103"/>
    <w:rsid w:val="00FB4D28"/>
    <w:rsid w:val="00FB7B07"/>
    <w:rsid w:val="00FD1188"/>
    <w:rsid w:val="00FE21F2"/>
    <w:rsid w:val="00FE442A"/>
    <w:rsid w:val="00FE6328"/>
    <w:rsid w:val="00FF1E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BD94511"/>
  <w15:chartTrackingRefBased/>
  <w15:docId w15:val="{988FBDB8-28B4-484A-BE29-B17FA484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ind w:left="851" w:hanging="851"/>
      <w:jc w:val="both"/>
      <w:textAlignment w:val="baseline"/>
    </w:pPr>
    <w:rPr>
      <w:rFonts w:ascii="ClassGarmnd BT" w:hAnsi="ClassGarmnd BT"/>
      <w:sz w:val="22"/>
      <w:lang w:val="en-GB" w:eastAsia="en-US"/>
    </w:rPr>
  </w:style>
  <w:style w:type="paragraph" w:styleId="Heading1">
    <w:name w:val="heading 1"/>
    <w:basedOn w:val="Normal"/>
    <w:next w:val="Normal"/>
    <w:qFormat/>
    <w:pPr>
      <w:jc w:val="center"/>
      <w:outlineLvl w:val="0"/>
    </w:pPr>
    <w:rPr>
      <w:rFonts w:ascii="Zurich Cn BT" w:hAnsi="Zurich Cn BT"/>
      <w:b/>
      <w:sz w:val="48"/>
    </w:rPr>
  </w:style>
  <w:style w:type="paragraph" w:styleId="Heading2">
    <w:name w:val="heading 2"/>
    <w:basedOn w:val="Normal"/>
    <w:next w:val="Normal"/>
    <w:qFormat/>
    <w:pPr>
      <w:ind w:left="0" w:firstLine="0"/>
      <w:outlineLvl w:val="1"/>
    </w:pPr>
    <w:rPr>
      <w:rFonts w:ascii="Zurich Cn BT" w:hAnsi="Zurich Cn BT"/>
      <w:b/>
      <w:sz w:val="32"/>
    </w:rPr>
  </w:style>
  <w:style w:type="paragraph" w:styleId="Heading3">
    <w:name w:val="heading 3"/>
    <w:aliases w:val="d"/>
    <w:basedOn w:val="Normal"/>
    <w:next w:val="Normal"/>
    <w:qFormat/>
    <w:pPr>
      <w:ind w:left="0" w:firstLine="0"/>
      <w:outlineLvl w:val="2"/>
    </w:pPr>
    <w:rPr>
      <w:b/>
      <w:sz w:val="26"/>
    </w:rPr>
  </w:style>
  <w:style w:type="paragraph" w:styleId="Heading4">
    <w:name w:val="heading 4"/>
    <w:aliases w:val="sd"/>
    <w:basedOn w:val="Normal"/>
    <w:next w:val="Normal"/>
    <w:qFormat/>
    <w:pPr>
      <w:ind w:left="0" w:firstLine="0"/>
      <w:outlineLvl w:val="3"/>
    </w:pPr>
    <w:rPr>
      <w:b/>
    </w:rPr>
  </w:style>
  <w:style w:type="paragraph" w:styleId="Heading5">
    <w:name w:val="heading 5"/>
    <w:basedOn w:val="Normal"/>
    <w:next w:val="Normal"/>
    <w:qFormat/>
    <w:pPr>
      <w:ind w:left="720"/>
      <w:outlineLvl w:val="4"/>
    </w:pPr>
    <w:rPr>
      <w:rFonts w:ascii="Times" w:hAnsi="Times"/>
      <w:b/>
    </w:rPr>
  </w:style>
  <w:style w:type="paragraph" w:styleId="Heading6">
    <w:name w:val="heading 6"/>
    <w:basedOn w:val="Normal"/>
    <w:next w:val="Normal"/>
    <w:qFormat/>
    <w:pPr>
      <w:ind w:left="720"/>
      <w:outlineLvl w:val="5"/>
    </w:pPr>
    <w:rPr>
      <w:rFonts w:ascii="Times" w:hAnsi="Times"/>
      <w:u w:val="single"/>
    </w:rPr>
  </w:style>
  <w:style w:type="paragraph" w:styleId="Heading7">
    <w:name w:val="heading 7"/>
    <w:basedOn w:val="Normal"/>
    <w:next w:val="Normal"/>
    <w:qFormat/>
    <w:pPr>
      <w:ind w:left="720"/>
      <w:outlineLvl w:val="6"/>
    </w:pPr>
    <w:rPr>
      <w:rFonts w:ascii="Times" w:hAnsi="Times"/>
      <w:i/>
    </w:rPr>
  </w:style>
  <w:style w:type="paragraph" w:styleId="Heading8">
    <w:name w:val="heading 8"/>
    <w:basedOn w:val="Normal"/>
    <w:next w:val="Normal"/>
    <w:qFormat/>
    <w:pPr>
      <w:ind w:left="720"/>
      <w:outlineLvl w:val="7"/>
    </w:pPr>
    <w:rPr>
      <w:rFonts w:ascii="Times" w:hAnsi="Times"/>
      <w:i/>
    </w:rPr>
  </w:style>
  <w:style w:type="paragraph" w:styleId="Heading9">
    <w:name w:val="heading 9"/>
    <w:basedOn w:val="Normal"/>
    <w:next w:val="Normal"/>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16"/>
    </w:rPr>
  </w:style>
  <w:style w:type="paragraph" w:styleId="Header">
    <w:name w:val="header"/>
    <w:basedOn w:val="Normal"/>
    <w:next w:val="Normal"/>
    <w:pPr>
      <w:tabs>
        <w:tab w:val="center" w:pos="4320"/>
        <w:tab w:val="right" w:pos="8640"/>
      </w:tabs>
    </w:pPr>
    <w:rPr>
      <w:b/>
    </w:rPr>
  </w:style>
  <w:style w:type="character" w:styleId="FootnoteReference">
    <w:name w:val="footnote reference"/>
    <w:rPr>
      <w:position w:val="6"/>
      <w:sz w:val="16"/>
    </w:rPr>
  </w:style>
  <w:style w:type="paragraph" w:styleId="FootnoteText">
    <w:name w:val="footnote text"/>
    <w:basedOn w:val="Normal"/>
    <w:link w:val="FootnoteTextChar"/>
  </w:style>
  <w:style w:type="paragraph" w:customStyle="1" w:styleId="historytext">
    <w:name w:val="historytext"/>
    <w:basedOn w:val="Normal"/>
    <w:next w:val="Normal"/>
    <w:pPr>
      <w:spacing w:before="120"/>
    </w:pPr>
    <w:rPr>
      <w:sz w:val="14"/>
    </w:rPr>
  </w:style>
  <w:style w:type="paragraph" w:customStyle="1" w:styleId="Caption-BOX">
    <w:name w:val="Caption-BOX"/>
    <w:pPr>
      <w:widowControl w:val="0"/>
      <w:overflowPunct w:val="0"/>
      <w:autoSpaceDE w:val="0"/>
      <w:autoSpaceDN w:val="0"/>
      <w:adjustRightInd w:val="0"/>
      <w:spacing w:after="40"/>
      <w:textAlignment w:val="baseline"/>
    </w:pPr>
    <w:rPr>
      <w:rFonts w:ascii="ClassGarmnd BT" w:hAnsi="ClassGarmnd BT"/>
      <w:color w:val="000000"/>
      <w:sz w:val="18"/>
      <w:lang w:eastAsia="en-US"/>
    </w:rPr>
  </w:style>
  <w:style w:type="paragraph" w:customStyle="1" w:styleId="Heading19">
    <w:name w:val="Heading 19"/>
    <w:basedOn w:val="Normal"/>
    <w:pPr>
      <w:ind w:left="0" w:firstLine="0"/>
    </w:pPr>
    <w:rPr>
      <w:i/>
      <w:sz w:val="18"/>
      <w:lang w:val="en-AU"/>
    </w:rPr>
  </w:style>
  <w:style w:type="paragraph" w:customStyle="1" w:styleId="boxstyle">
    <w:name w:val="boxstyle"/>
    <w:basedOn w:val="Normal"/>
    <w:pPr>
      <w:ind w:left="0" w:firstLine="0"/>
    </w:pPr>
    <w:rPr>
      <w:color w:val="000000"/>
      <w:sz w:val="20"/>
      <w:lang w:val="en-AU"/>
    </w:rPr>
  </w:style>
  <w:style w:type="paragraph" w:customStyle="1" w:styleId="tick">
    <w:name w:val="tick"/>
    <w:basedOn w:val="boxstyle"/>
    <w:rPr>
      <w:rFonts w:ascii="Wingdings" w:hAnsi="Wingdings"/>
      <w:sz w:val="36"/>
    </w:rPr>
  </w:style>
  <w:style w:type="paragraph" w:customStyle="1" w:styleId="definitions">
    <w:name w:val="definitions"/>
    <w:basedOn w:val="Normal"/>
    <w:next w:val="Normal"/>
    <w:rPr>
      <w:rFonts w:ascii="Helvetica" w:hAnsi="Helvetica"/>
      <w:lang w:val="en-AU"/>
    </w:rPr>
  </w:style>
  <w:style w:type="paragraph" w:customStyle="1" w:styleId="deleted">
    <w:name w:val="deleted"/>
    <w:basedOn w:val="boxstyle"/>
    <w:pPr>
      <w:spacing w:before="40"/>
    </w:pPr>
    <w:rPr>
      <w:color w:val="auto"/>
      <w:sz w:val="14"/>
    </w:rPr>
  </w:style>
  <w:style w:type="character" w:customStyle="1" w:styleId="superscript">
    <w:name w:val="superscript"/>
    <w:rPr>
      <w:rFonts w:ascii="Century Schoolbook" w:hAnsi="Century Schoolbook"/>
      <w:position w:val="6"/>
      <w:sz w:val="14"/>
    </w:rPr>
  </w:style>
  <w:style w:type="paragraph" w:styleId="BodyTextIndent2">
    <w:name w:val="Body Text Indent 2"/>
    <w:basedOn w:val="Normal"/>
    <w:rPr>
      <w:color w:val="000000"/>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851" w:hanging="851"/>
      <w:jc w:val="both"/>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ind w:left="0"/>
    </w:p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CommentReference">
    <w:name w:val="annotation reference"/>
    <w:rsid w:val="003D2C10"/>
    <w:rPr>
      <w:sz w:val="16"/>
      <w:szCs w:val="16"/>
    </w:rPr>
  </w:style>
  <w:style w:type="paragraph" w:styleId="CommentSubject">
    <w:name w:val="annotation subject"/>
    <w:basedOn w:val="CommentText"/>
    <w:next w:val="CommentText"/>
    <w:link w:val="CommentSubjectChar"/>
    <w:rsid w:val="003D2C10"/>
    <w:rPr>
      <w:b/>
      <w:bCs/>
    </w:rPr>
  </w:style>
  <w:style w:type="character" w:customStyle="1" w:styleId="CommentTextChar">
    <w:name w:val="Comment Text Char"/>
    <w:link w:val="CommentText"/>
    <w:semiHidden/>
    <w:rsid w:val="003D2C10"/>
    <w:rPr>
      <w:rFonts w:ascii="ClassGarmnd BT" w:hAnsi="ClassGarmnd BT"/>
      <w:lang w:val="en-GB" w:eastAsia="en-US"/>
    </w:rPr>
  </w:style>
  <w:style w:type="character" w:customStyle="1" w:styleId="CommentSubjectChar">
    <w:name w:val="Comment Subject Char"/>
    <w:link w:val="CommentSubject"/>
    <w:rsid w:val="003D2C10"/>
    <w:rPr>
      <w:rFonts w:ascii="ClassGarmnd BT" w:hAnsi="ClassGarmnd BT"/>
      <w:b/>
      <w:bCs/>
      <w:lang w:val="en-GB" w:eastAsia="en-US"/>
    </w:rPr>
  </w:style>
  <w:style w:type="paragraph" w:styleId="BalloonText">
    <w:name w:val="Balloon Text"/>
    <w:basedOn w:val="Normal"/>
    <w:link w:val="BalloonTextChar"/>
    <w:rsid w:val="003D2C10"/>
    <w:rPr>
      <w:rFonts w:ascii="Tahoma" w:hAnsi="Tahoma" w:cs="Tahoma"/>
      <w:sz w:val="16"/>
      <w:szCs w:val="16"/>
    </w:rPr>
  </w:style>
  <w:style w:type="character" w:customStyle="1" w:styleId="BalloonTextChar">
    <w:name w:val="Balloon Text Char"/>
    <w:link w:val="BalloonText"/>
    <w:rsid w:val="003D2C10"/>
    <w:rPr>
      <w:rFonts w:ascii="Tahoma" w:hAnsi="Tahoma" w:cs="Tahoma"/>
      <w:sz w:val="16"/>
      <w:szCs w:val="16"/>
      <w:lang w:val="en-GB" w:eastAsia="en-US"/>
    </w:rPr>
  </w:style>
  <w:style w:type="paragraph" w:styleId="Revision">
    <w:name w:val="Revision"/>
    <w:hidden/>
    <w:uiPriority w:val="99"/>
    <w:semiHidden/>
    <w:rsid w:val="000449B1"/>
    <w:rPr>
      <w:rFonts w:ascii="ClassGarmnd BT" w:hAnsi="ClassGarmnd BT"/>
      <w:sz w:val="22"/>
      <w:lang w:val="en-GB" w:eastAsia="en-US"/>
    </w:rPr>
  </w:style>
  <w:style w:type="character" w:customStyle="1" w:styleId="FooterChar">
    <w:name w:val="Footer Char"/>
    <w:link w:val="Footer"/>
    <w:uiPriority w:val="99"/>
    <w:rsid w:val="007363DF"/>
    <w:rPr>
      <w:rFonts w:ascii="ClassGarmnd BT" w:hAnsi="ClassGarmnd BT"/>
      <w:sz w:val="16"/>
      <w:lang w:val="en-GB" w:eastAsia="en-US"/>
    </w:rPr>
  </w:style>
  <w:style w:type="character" w:customStyle="1" w:styleId="FootnoteTextChar">
    <w:name w:val="Footnote Text Char"/>
    <w:link w:val="FootnoteText"/>
    <w:rsid w:val="006D3584"/>
    <w:rPr>
      <w:rFonts w:ascii="ClassGarmnd BT" w:hAnsi="ClassGarmnd BT"/>
      <w:sz w:val="22"/>
      <w:lang w:val="en-GB" w:eastAsia="en-US"/>
    </w:rPr>
  </w:style>
  <w:style w:type="character" w:styleId="Hyperlink">
    <w:name w:val="Hyperlink"/>
    <w:rsid w:val="00491B89"/>
    <w:rPr>
      <w:color w:val="0000FF"/>
      <w:u w:val="single"/>
    </w:rPr>
  </w:style>
  <w:style w:type="paragraph" w:customStyle="1" w:styleId="GNFooter">
    <w:name w:val="GN Footer"/>
    <w:basedOn w:val="Normal"/>
    <w:rsid w:val="00977A08"/>
    <w:pPr>
      <w:tabs>
        <w:tab w:val="center" w:pos="4536"/>
        <w:tab w:val="right" w:pos="9072"/>
      </w:tabs>
      <w:overflowPunct/>
      <w:autoSpaceDE/>
      <w:autoSpaceDN/>
      <w:adjustRightInd/>
      <w:ind w:left="0" w:firstLine="0"/>
      <w:jc w:val="left"/>
      <w:textAlignment w:val="auto"/>
    </w:pPr>
    <w:rPr>
      <w:rFonts w:ascii="Arial" w:hAnsi="Arial"/>
      <w:sz w:val="16"/>
      <w:szCs w:val="24"/>
      <w:lang w:val="en-US"/>
    </w:rPr>
  </w:style>
  <w:style w:type="character" w:styleId="PageNumber">
    <w:name w:val="page number"/>
    <w:unhideWhenUsed/>
    <w:rsid w:val="00977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6234">
      <w:bodyDiv w:val="1"/>
      <w:marLeft w:val="0"/>
      <w:marRight w:val="0"/>
      <w:marTop w:val="0"/>
      <w:marBottom w:val="0"/>
      <w:divBdr>
        <w:top w:val="none" w:sz="0" w:space="0" w:color="auto"/>
        <w:left w:val="none" w:sz="0" w:space="0" w:color="auto"/>
        <w:bottom w:val="none" w:sz="0" w:space="0" w:color="auto"/>
        <w:right w:val="none" w:sz="0" w:space="0" w:color="auto"/>
      </w:divBdr>
    </w:div>
    <w:div w:id="191473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F02B6-D234-4026-96D3-A3F17B420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2</Pages>
  <Words>589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ASX Listing Rules Appendix 1A - ASX Listing Application and Agreement</vt:lpstr>
    </vt:vector>
  </TitlesOfParts>
  <Company>ASX</Company>
  <LinksUpToDate>false</LinksUpToDate>
  <CharactersWithSpaces>3656</CharactersWithSpaces>
  <SharedDoc>false</SharedDoc>
  <HLinks>
    <vt:vector size="6" baseType="variant">
      <vt:variant>
        <vt:i4>2752590</vt:i4>
      </vt:variant>
      <vt:variant>
        <vt:i4>0</vt:i4>
      </vt:variant>
      <vt:variant>
        <vt:i4>0</vt:i4>
      </vt:variant>
      <vt:variant>
        <vt:i4>5</vt:i4>
      </vt:variant>
      <vt:variant>
        <vt:lpwstr>mailto:ar@asx.com.au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Appendix 1A - ASX Listing Application and Agreement</dc:title>
  <dc:subject/>
  <dc:creator>Angel Magat</dc:creator>
  <cp:keywords/>
  <cp:lastModifiedBy>Kevin Lewis</cp:lastModifiedBy>
  <cp:revision>15</cp:revision>
  <cp:lastPrinted>2015-09-09T04:35:00Z</cp:lastPrinted>
  <dcterms:created xsi:type="dcterms:W3CDTF">2015-09-24T04:43:00Z</dcterms:created>
  <dcterms:modified xsi:type="dcterms:W3CDTF">2019-11-26T21:26:00Z</dcterms:modified>
</cp:coreProperties>
</file>