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0C9" w:rsidRPr="000A1E89" w:rsidRDefault="00FD10C9" w:rsidP="000A1E89">
      <w:pPr>
        <w:spacing w:after="180"/>
        <w:jc w:val="center"/>
        <w:rPr>
          <w:rFonts w:ascii="Arial Narrow" w:hAnsi="Arial Narrow"/>
          <w:sz w:val="28"/>
        </w:rPr>
      </w:pPr>
      <w:bookmarkStart w:id="0" w:name="_GoBack"/>
      <w:bookmarkEnd w:id="0"/>
      <w:r w:rsidRPr="000A1E89">
        <w:rPr>
          <w:rFonts w:ascii="Arial Narrow" w:hAnsi="Arial Narrow"/>
          <w:b/>
          <w:sz w:val="28"/>
        </w:rPr>
        <w:t xml:space="preserve">CHECKLIST FOR CONSTITUTIONS OF </w:t>
      </w:r>
      <w:r w:rsidR="00A021F2">
        <w:rPr>
          <w:rFonts w:ascii="Arial Narrow" w:hAnsi="Arial Narrow"/>
          <w:b/>
          <w:sz w:val="28"/>
        </w:rPr>
        <w:t xml:space="preserve">ASX </w:t>
      </w:r>
      <w:r w:rsidRPr="000A1E89">
        <w:rPr>
          <w:rFonts w:ascii="Arial Narrow" w:hAnsi="Arial Narrow"/>
          <w:b/>
          <w:sz w:val="28"/>
        </w:rPr>
        <w:t>LISTED ENTITIES</w:t>
      </w:r>
    </w:p>
    <w:p w:rsidR="00A021F2" w:rsidRDefault="00FD10C9" w:rsidP="000A1E89">
      <w:pPr>
        <w:spacing w:after="180"/>
        <w:ind w:right="-115"/>
        <w:jc w:val="both"/>
        <w:rPr>
          <w:rFonts w:ascii="Arial Narrow" w:hAnsi="Arial Narrow"/>
          <w:i/>
          <w:sz w:val="20"/>
        </w:rPr>
      </w:pPr>
      <w:r w:rsidRPr="000A1E89">
        <w:rPr>
          <w:rFonts w:ascii="Arial Narrow" w:hAnsi="Arial Narrow"/>
          <w:i/>
          <w:sz w:val="20"/>
        </w:rPr>
        <w:t>The purpos</w:t>
      </w:r>
      <w:r w:rsidR="00A021F2">
        <w:rPr>
          <w:rFonts w:ascii="Arial Narrow" w:hAnsi="Arial Narrow"/>
          <w:i/>
          <w:sz w:val="20"/>
        </w:rPr>
        <w:t>e of the checklist is to assist:</w:t>
      </w:r>
    </w:p>
    <w:p w:rsidR="00A021F2" w:rsidRDefault="00A021F2" w:rsidP="00A021F2">
      <w:pPr>
        <w:numPr>
          <w:ilvl w:val="0"/>
          <w:numId w:val="4"/>
        </w:numPr>
        <w:spacing w:after="180"/>
        <w:ind w:left="709" w:hanging="709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 xml:space="preserve">an </w:t>
      </w:r>
      <w:r w:rsidR="00FD10C9" w:rsidRPr="000A1E89">
        <w:rPr>
          <w:rFonts w:ascii="Arial Narrow" w:hAnsi="Arial Narrow"/>
          <w:i/>
          <w:sz w:val="20"/>
        </w:rPr>
        <w:t>entit</w:t>
      </w:r>
      <w:r>
        <w:rPr>
          <w:rFonts w:ascii="Arial Narrow" w:hAnsi="Arial Narrow"/>
          <w:i/>
          <w:sz w:val="20"/>
        </w:rPr>
        <w:t>y</w:t>
      </w:r>
      <w:r w:rsidR="00FD10C9" w:rsidRPr="000A1E89">
        <w:rPr>
          <w:rFonts w:ascii="Arial Narrow" w:hAnsi="Arial Narrow"/>
          <w:i/>
          <w:sz w:val="20"/>
        </w:rPr>
        <w:t xml:space="preserve"> </w:t>
      </w:r>
      <w:r>
        <w:rPr>
          <w:rFonts w:ascii="Arial Narrow" w:hAnsi="Arial Narrow"/>
          <w:i/>
          <w:sz w:val="20"/>
        </w:rPr>
        <w:t>applying for an ASX Listing to comply with its obligations under Listing Rule 1.1 Condition </w:t>
      </w:r>
      <w:r w:rsidRPr="00A021F2">
        <w:rPr>
          <w:rFonts w:ascii="Arial Narrow" w:hAnsi="Arial Narrow"/>
          <w:i/>
          <w:sz w:val="20"/>
        </w:rPr>
        <w:t>2 to have a constitution that is consistent with the ASX Listing Rules</w:t>
      </w:r>
      <w:r>
        <w:rPr>
          <w:rFonts w:ascii="Arial Narrow" w:hAnsi="Arial Narrow"/>
          <w:i/>
          <w:sz w:val="20"/>
        </w:rPr>
        <w:t>; and</w:t>
      </w:r>
    </w:p>
    <w:p w:rsidR="00A021F2" w:rsidRDefault="00A021F2" w:rsidP="00A021F2">
      <w:pPr>
        <w:numPr>
          <w:ilvl w:val="0"/>
          <w:numId w:val="4"/>
        </w:numPr>
        <w:spacing w:after="180"/>
        <w:ind w:left="709" w:hanging="709"/>
        <w:jc w:val="both"/>
        <w:rPr>
          <w:rFonts w:ascii="Arial Narrow" w:hAnsi="Arial Narrow"/>
          <w:i/>
          <w:sz w:val="20"/>
        </w:rPr>
      </w:pPr>
      <w:r w:rsidRPr="00A021F2">
        <w:rPr>
          <w:rFonts w:ascii="Arial Narrow" w:hAnsi="Arial Narrow"/>
          <w:i/>
          <w:sz w:val="20"/>
        </w:rPr>
        <w:t>a listed entity to comply with its obligation under Listing Rule 15.1</w:t>
      </w:r>
      <w:r w:rsidR="003C34D6">
        <w:rPr>
          <w:rFonts w:ascii="Arial Narrow" w:hAnsi="Arial Narrow"/>
          <w:i/>
          <w:sz w:val="20"/>
        </w:rPr>
        <w:t>1</w:t>
      </w:r>
      <w:r w:rsidRPr="00A021F2">
        <w:rPr>
          <w:rFonts w:ascii="Arial Narrow" w:hAnsi="Arial Narrow"/>
          <w:i/>
          <w:sz w:val="20"/>
        </w:rPr>
        <w:t xml:space="preserve"> to ensure that any amendments to its constitution are consistent with the ASX Listing Rules</w:t>
      </w:r>
      <w:r>
        <w:rPr>
          <w:rFonts w:ascii="Arial Narrow" w:hAnsi="Arial Narrow"/>
          <w:i/>
          <w:sz w:val="20"/>
        </w:rPr>
        <w:t>.</w:t>
      </w:r>
    </w:p>
    <w:p w:rsidR="00FD10C9" w:rsidRDefault="00FD10C9" w:rsidP="000A1E89">
      <w:pPr>
        <w:spacing w:after="180"/>
        <w:ind w:right="-115"/>
        <w:jc w:val="both"/>
        <w:rPr>
          <w:rFonts w:ascii="Arial Narrow" w:hAnsi="Arial Narrow"/>
          <w:i/>
          <w:sz w:val="20"/>
        </w:rPr>
      </w:pPr>
      <w:r w:rsidRPr="000A1E89">
        <w:rPr>
          <w:rFonts w:ascii="Arial Narrow" w:hAnsi="Arial Narrow"/>
          <w:i/>
          <w:sz w:val="20"/>
        </w:rPr>
        <w:t xml:space="preserve">It is also to assist ASX in reviewing </w:t>
      </w:r>
      <w:r w:rsidR="00A021F2">
        <w:rPr>
          <w:rFonts w:ascii="Arial Narrow" w:hAnsi="Arial Narrow"/>
          <w:i/>
          <w:sz w:val="20"/>
        </w:rPr>
        <w:t xml:space="preserve">such </w:t>
      </w:r>
      <w:r w:rsidRPr="000A1E89">
        <w:rPr>
          <w:rFonts w:ascii="Arial Narrow" w:hAnsi="Arial Narrow"/>
          <w:i/>
          <w:sz w:val="20"/>
        </w:rPr>
        <w:t>documents in a timely manner.</w:t>
      </w:r>
    </w:p>
    <w:p w:rsidR="00A021F2" w:rsidRPr="000A1E89" w:rsidRDefault="00A021F2" w:rsidP="00A021F2">
      <w:pPr>
        <w:spacing w:after="18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This checklist must be completed by an e</w:t>
      </w:r>
      <w:r w:rsidRPr="00A021F2">
        <w:rPr>
          <w:rFonts w:ascii="Arial Narrow" w:hAnsi="Arial Narrow"/>
          <w:i/>
          <w:sz w:val="20"/>
        </w:rPr>
        <w:t>nt</w:t>
      </w:r>
      <w:r>
        <w:rPr>
          <w:rFonts w:ascii="Arial Narrow" w:hAnsi="Arial Narrow"/>
          <w:i/>
          <w:sz w:val="20"/>
        </w:rPr>
        <w:t>ity</w:t>
      </w:r>
      <w:r w:rsidRPr="00A021F2">
        <w:rPr>
          <w:rFonts w:ascii="Arial Narrow" w:hAnsi="Arial Narrow"/>
          <w:i/>
          <w:sz w:val="20"/>
        </w:rPr>
        <w:t xml:space="preserve"> which ha</w:t>
      </w:r>
      <w:r>
        <w:rPr>
          <w:rFonts w:ascii="Arial Narrow" w:hAnsi="Arial Narrow"/>
          <w:i/>
          <w:sz w:val="20"/>
        </w:rPr>
        <w:t>s</w:t>
      </w:r>
      <w:r w:rsidRPr="00A021F2">
        <w:rPr>
          <w:rFonts w:ascii="Arial Narrow" w:hAnsi="Arial Narrow"/>
          <w:i/>
          <w:sz w:val="20"/>
        </w:rPr>
        <w:t xml:space="preserve"> not included the provisions of Appendix 15A (in the case of an entity which is not a company to which</w:t>
      </w:r>
      <w:r>
        <w:rPr>
          <w:rFonts w:ascii="Arial Narrow" w:hAnsi="Arial Narrow"/>
          <w:i/>
          <w:sz w:val="20"/>
        </w:rPr>
        <w:t xml:space="preserve"> any replaceable rules apply) or Appendix 15B (in the case of an entity which is a company to which any replaceable rules apply) in its constitution. It must be provided to ASX at the time that </w:t>
      </w:r>
      <w:r w:rsidR="00ED336F">
        <w:rPr>
          <w:rFonts w:ascii="Arial Narrow" w:hAnsi="Arial Narrow"/>
          <w:i/>
          <w:sz w:val="20"/>
        </w:rPr>
        <w:t>the</w:t>
      </w:r>
      <w:r>
        <w:rPr>
          <w:rFonts w:ascii="Arial Narrow" w:hAnsi="Arial Narrow"/>
          <w:i/>
          <w:sz w:val="20"/>
        </w:rPr>
        <w:t xml:space="preserve"> entity</w:t>
      </w:r>
      <w:r w:rsidR="00ED336F">
        <w:rPr>
          <w:rFonts w:ascii="Arial Narrow" w:hAnsi="Arial Narrow"/>
          <w:i/>
          <w:sz w:val="20"/>
        </w:rPr>
        <w:t xml:space="preserve"> provides</w:t>
      </w:r>
      <w:r>
        <w:rPr>
          <w:rFonts w:ascii="Arial Narrow" w:hAnsi="Arial Narrow"/>
          <w:i/>
          <w:sz w:val="20"/>
        </w:rPr>
        <w:t xml:space="preserve"> </w:t>
      </w:r>
      <w:r w:rsidR="00ED336F">
        <w:rPr>
          <w:rFonts w:ascii="Arial Narrow" w:hAnsi="Arial Narrow"/>
          <w:i/>
          <w:sz w:val="20"/>
        </w:rPr>
        <w:t xml:space="preserve">its </w:t>
      </w:r>
      <w:r>
        <w:rPr>
          <w:rFonts w:ascii="Arial Narrow" w:hAnsi="Arial Narrow"/>
          <w:i/>
          <w:sz w:val="20"/>
        </w:rPr>
        <w:t>constitution, or an amendment to its constitution, to ASX f</w:t>
      </w:r>
      <w:r w:rsidRPr="000A1E89">
        <w:rPr>
          <w:rFonts w:ascii="Arial Narrow" w:hAnsi="Arial Narrow"/>
          <w:i/>
          <w:sz w:val="20"/>
        </w:rPr>
        <w:t>or review.</w:t>
      </w:r>
    </w:p>
    <w:tbl>
      <w:tblPr>
        <w:tblW w:w="9321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97"/>
        <w:gridCol w:w="1077"/>
        <w:gridCol w:w="1009"/>
        <w:gridCol w:w="3873"/>
        <w:gridCol w:w="1565"/>
      </w:tblGrid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0C9" w:rsidRPr="000A1E89" w:rsidRDefault="000A1E89" w:rsidP="000A1E89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ASX </w:t>
            </w:r>
            <w:r w:rsidRPr="000A1E89">
              <w:rPr>
                <w:rFonts w:ascii="Arial Narrow" w:hAnsi="Arial Narrow"/>
                <w:b/>
                <w:sz w:val="20"/>
              </w:rPr>
              <w:t xml:space="preserve">Listing </w:t>
            </w:r>
            <w:r w:rsidR="00724A1C">
              <w:rPr>
                <w:rFonts w:ascii="Arial Narrow" w:hAnsi="Arial Narrow"/>
                <w:b/>
                <w:sz w:val="20"/>
              </w:rPr>
              <w:t>Rule </w:t>
            </w:r>
            <w:r w:rsidRPr="000A1E89">
              <w:rPr>
                <w:rFonts w:ascii="Arial Narrow" w:hAnsi="Arial Narrow"/>
                <w:b/>
                <w:sz w:val="20"/>
              </w:rPr>
              <w:t>/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0A1E89">
              <w:rPr>
                <w:rFonts w:ascii="Arial Narrow" w:hAnsi="Arial Narrow"/>
                <w:b/>
                <w:sz w:val="20"/>
              </w:rPr>
              <w:t>AS</w:t>
            </w:r>
            <w:r>
              <w:rPr>
                <w:rFonts w:ascii="Arial Narrow" w:hAnsi="Arial Narrow"/>
                <w:b/>
                <w:sz w:val="20"/>
              </w:rPr>
              <w:t>X</w:t>
            </w:r>
            <w:r w:rsidRPr="000A1E89">
              <w:rPr>
                <w:rFonts w:ascii="Arial Narrow" w:hAnsi="Arial Narrow"/>
                <w:b/>
                <w:sz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</w:rPr>
              <w:t>S</w:t>
            </w:r>
            <w:r w:rsidRPr="000A1E89">
              <w:rPr>
                <w:rFonts w:ascii="Arial Narrow" w:hAnsi="Arial Narrow"/>
                <w:b/>
                <w:sz w:val="20"/>
              </w:rPr>
              <w:t>ettlement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724A1C">
              <w:rPr>
                <w:rFonts w:ascii="Arial Narrow" w:hAnsi="Arial Narrow"/>
                <w:b/>
                <w:sz w:val="20"/>
              </w:rPr>
              <w:t>Rule </w:t>
            </w:r>
            <w:r>
              <w:rPr>
                <w:rFonts w:ascii="Arial Narrow" w:hAnsi="Arial Narrow"/>
                <w:b/>
                <w:sz w:val="20"/>
              </w:rPr>
              <w:t>R</w:t>
            </w:r>
            <w:r w:rsidRPr="000A1E89">
              <w:rPr>
                <w:rFonts w:ascii="Arial Narrow" w:hAnsi="Arial Narrow"/>
                <w:b/>
                <w:sz w:val="20"/>
              </w:rPr>
              <w:t>eference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 w:rsidRPr="000A1E89">
              <w:rPr>
                <w:rFonts w:ascii="Arial Narrow" w:hAnsi="Arial Narrow"/>
                <w:b/>
                <w:sz w:val="20"/>
              </w:rPr>
              <w:t>Applies to Company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 w:rsidRPr="000A1E89">
              <w:rPr>
                <w:rFonts w:ascii="Arial Narrow" w:hAnsi="Arial Narrow"/>
                <w:b/>
                <w:sz w:val="20"/>
              </w:rPr>
              <w:t>Applies to</w:t>
            </w:r>
            <w:r w:rsidR="000A1E89">
              <w:rPr>
                <w:rFonts w:ascii="Arial Narrow" w:hAnsi="Arial Narrow"/>
                <w:b/>
                <w:sz w:val="20"/>
              </w:rPr>
              <w:t xml:space="preserve"> </w:t>
            </w:r>
            <w:r w:rsidRPr="000A1E89">
              <w:rPr>
                <w:rFonts w:ascii="Arial Narrow" w:hAnsi="Arial Narrow"/>
                <w:b/>
                <w:sz w:val="20"/>
              </w:rPr>
              <w:t>Trust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0C9" w:rsidRPr="000A1E89" w:rsidRDefault="000A1E89" w:rsidP="003C34D6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 w:rsidRPr="000A1E89">
              <w:rPr>
                <w:rFonts w:ascii="Arial Narrow" w:hAnsi="Arial Narrow"/>
                <w:b/>
                <w:sz w:val="20"/>
              </w:rPr>
              <w:t>Description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10C9" w:rsidRPr="000A1E89" w:rsidRDefault="000A1E89" w:rsidP="00172255">
            <w:pPr>
              <w:spacing w:before="60" w:after="60"/>
              <w:jc w:val="center"/>
              <w:rPr>
                <w:rFonts w:ascii="Arial Narrow" w:hAnsi="Arial Narrow"/>
                <w:b/>
                <w:sz w:val="20"/>
              </w:rPr>
            </w:pPr>
            <w:r w:rsidRPr="000A1E89">
              <w:rPr>
                <w:rFonts w:ascii="Arial Narrow" w:hAnsi="Arial Narrow"/>
                <w:b/>
                <w:sz w:val="20"/>
              </w:rPr>
              <w:t>Indicate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724A1C">
              <w:rPr>
                <w:rFonts w:ascii="Arial Narrow" w:hAnsi="Arial Narrow"/>
                <w:b/>
                <w:sz w:val="20"/>
              </w:rPr>
              <w:t>L</w:t>
            </w:r>
            <w:r w:rsidRPr="000A1E89">
              <w:rPr>
                <w:rFonts w:ascii="Arial Narrow" w:hAnsi="Arial Narrow"/>
                <w:b/>
                <w:sz w:val="20"/>
              </w:rPr>
              <w:t>ocation in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="00724A1C">
              <w:rPr>
                <w:rFonts w:ascii="Arial Narrow" w:hAnsi="Arial Narrow"/>
                <w:b/>
                <w:sz w:val="20"/>
              </w:rPr>
              <w:t>C</w:t>
            </w:r>
            <w:r w:rsidRPr="000A1E89">
              <w:rPr>
                <w:rFonts w:ascii="Arial Narrow" w:hAnsi="Arial Narrow"/>
                <w:b/>
                <w:sz w:val="20"/>
              </w:rPr>
              <w:t>onstitution</w:t>
            </w:r>
            <w:r w:rsidR="00172255" w:rsidRPr="00172255">
              <w:rPr>
                <w:rFonts w:ascii="Arial Narrow" w:hAnsi="Arial Narrow"/>
                <w:b/>
                <w:sz w:val="20"/>
                <w:vertAlign w:val="superscript"/>
              </w:rPr>
              <w:t>1</w:t>
            </w: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3C34D6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 Condition 2,</w:t>
            </w:r>
            <w:r>
              <w:rPr>
                <w:rFonts w:ascii="Arial Narrow" w:hAnsi="Arial Narrow"/>
              </w:rPr>
              <w:br/>
              <w:t>1</w:t>
            </w:r>
            <w:r w:rsidR="00FD10C9" w:rsidRPr="000A1E89">
              <w:rPr>
                <w:rFonts w:ascii="Arial Narrow" w:hAnsi="Arial Narrow"/>
              </w:rPr>
              <w:t>5.11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Constitution to be co</w:t>
            </w:r>
            <w:r w:rsidR="00245D7F">
              <w:rPr>
                <w:rFonts w:ascii="Arial Narrow" w:hAnsi="Arial Narrow"/>
              </w:rPr>
              <w:t>nsistent with the Listing Rules</w:t>
            </w:r>
            <w:r w:rsidR="003C34D6">
              <w:rPr>
                <w:rFonts w:ascii="Arial Narrow" w:hAnsi="Arial Narrow"/>
              </w:rPr>
              <w:t xml:space="preserve"> (this assumes that </w:t>
            </w:r>
            <w:r w:rsidRPr="000A1E89">
              <w:rPr>
                <w:rFonts w:ascii="Arial Narrow" w:hAnsi="Arial Narrow"/>
              </w:rPr>
              <w:t xml:space="preserve">the constitution </w:t>
            </w:r>
            <w:r w:rsidR="003C34D6">
              <w:rPr>
                <w:rFonts w:ascii="Arial Narrow" w:hAnsi="Arial Narrow"/>
              </w:rPr>
              <w:t>does not contain the provisions in</w:t>
            </w:r>
            <w:r w:rsidRPr="000A1E89">
              <w:rPr>
                <w:rFonts w:ascii="Arial Narrow" w:hAnsi="Arial Narrow"/>
              </w:rPr>
              <w:t xml:space="preserve"> Appendix 15A or 15B</w:t>
            </w:r>
            <w:r w:rsidR="003C34D6">
              <w:rPr>
                <w:rFonts w:ascii="Arial Narrow" w:hAnsi="Arial Narrow"/>
              </w:rPr>
              <w:t>, as applicable)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2.1 Condition 1,</w:t>
            </w:r>
            <w:r w:rsidR="00724A1C">
              <w:rPr>
                <w:rFonts w:ascii="Arial Narrow" w:hAnsi="Arial Narrow"/>
              </w:rPr>
              <w:br/>
            </w:r>
            <w:r w:rsidRPr="000A1E89">
              <w:rPr>
                <w:rFonts w:ascii="Arial Narrow" w:hAnsi="Arial Narrow"/>
              </w:rPr>
              <w:t>2.5 Condition 1</w:t>
            </w:r>
            <w:r w:rsidR="003C34D6">
              <w:rPr>
                <w:rFonts w:ascii="Arial Narrow" w:hAnsi="Arial Narrow"/>
              </w:rPr>
              <w:t>,</w:t>
            </w:r>
            <w:r w:rsidR="00724A1C">
              <w:rPr>
                <w:rFonts w:ascii="Arial Narrow" w:hAnsi="Arial Narrow"/>
              </w:rPr>
              <w:br/>
            </w:r>
            <w:r w:rsidRPr="000A1E89">
              <w:rPr>
                <w:rFonts w:ascii="Arial Narrow" w:hAnsi="Arial Narrow"/>
              </w:rPr>
              <w:t>6.1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Requireme</w:t>
            </w:r>
            <w:r w:rsidR="00245D7F">
              <w:rPr>
                <w:rFonts w:ascii="Arial Narrow" w:hAnsi="Arial Narrow"/>
              </w:rPr>
              <w:t>nts for securities to be quoted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2.1 Condition 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Satisfaction of requirements for </w:t>
            </w:r>
            <w:r w:rsidR="00245D7F">
              <w:rPr>
                <w:rFonts w:ascii="Arial Narrow" w:hAnsi="Arial Narrow"/>
              </w:rPr>
              <w:t>securities to be CHESS approved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3.13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Information to</w:t>
            </w:r>
            <w:r w:rsidR="00245D7F">
              <w:rPr>
                <w:rFonts w:ascii="Arial Narrow" w:hAnsi="Arial Narrow"/>
              </w:rPr>
              <w:t xml:space="preserve"> be given to ASX about meetings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3.17</w:t>
            </w:r>
            <w:r w:rsidR="00310D04">
              <w:rPr>
                <w:rFonts w:ascii="Arial Narrow" w:hAnsi="Arial Narrow"/>
              </w:rPr>
              <w:t>.1</w:t>
            </w:r>
            <w:r>
              <w:rPr>
                <w:rFonts w:ascii="Arial Narrow" w:hAnsi="Arial Narrow"/>
              </w:rPr>
              <w:t>, 15.2.1,</w:t>
            </w:r>
            <w:r w:rsidR="00FD10C9" w:rsidRPr="000A1E89">
              <w:rPr>
                <w:rFonts w:ascii="Arial Narrow" w:hAnsi="Arial Narrow"/>
              </w:rPr>
              <w:t xml:space="preserve"> 15.2.2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Copies of all documents sent to secu</w:t>
            </w:r>
            <w:r w:rsidR="00B13CED">
              <w:rPr>
                <w:rFonts w:ascii="Arial Narrow" w:hAnsi="Arial Narrow"/>
              </w:rPr>
              <w:t>rity holders to be given to ASX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3.19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Disclosure about specifi</w:t>
            </w:r>
            <w:r w:rsidR="00245D7F">
              <w:rPr>
                <w:rFonts w:ascii="Arial Narrow" w:hAnsi="Arial Narrow"/>
              </w:rPr>
              <w:t>ed ownership limits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Entity to have only o</w:t>
            </w:r>
            <w:r w:rsidR="00245D7F">
              <w:rPr>
                <w:rFonts w:ascii="Arial Narrow" w:hAnsi="Arial Narrow"/>
              </w:rPr>
              <w:t>ne class of ordinary securities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6.3, 6.4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Voting rights</w:t>
            </w:r>
            <w:r w:rsidR="00ED26CE">
              <w:rPr>
                <w:rFonts w:ascii="Arial Narrow" w:hAnsi="Arial Narrow"/>
              </w:rPr>
              <w:t xml:space="preserve"> of preference security holders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310D04" w:rsidP="00310D04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0A1E89">
              <w:rPr>
                <w:rFonts w:ascii="Arial Narrow" w:hAnsi="Arial Narrow"/>
              </w:rPr>
              <w:t xml:space="preserve">ividend </w:t>
            </w:r>
            <w:r>
              <w:rPr>
                <w:rFonts w:ascii="Arial Narrow" w:hAnsi="Arial Narrow"/>
              </w:rPr>
              <w:t>or d</w:t>
            </w:r>
            <w:r w:rsidR="00FD10C9" w:rsidRPr="000A1E89">
              <w:rPr>
                <w:rFonts w:ascii="Arial Narrow" w:hAnsi="Arial Narrow"/>
              </w:rPr>
              <w:t>istribution rights</w:t>
            </w:r>
            <w:r w:rsidR="00ED26CE">
              <w:rPr>
                <w:rFonts w:ascii="Arial Narrow" w:hAnsi="Arial Narrow"/>
              </w:rPr>
              <w:t xml:space="preserve"> of preference security holders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6.6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B13CED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Rights of preference security holders </w:t>
            </w:r>
            <w:r w:rsidR="00B13CED">
              <w:rPr>
                <w:rFonts w:ascii="Arial Narrow" w:hAnsi="Arial Narrow"/>
              </w:rPr>
              <w:t>to participate in a</w:t>
            </w:r>
            <w:r w:rsidRPr="000A1E89">
              <w:rPr>
                <w:rFonts w:ascii="Arial Narrow" w:hAnsi="Arial Narrow"/>
              </w:rPr>
              <w:t xml:space="preserve"> return</w:t>
            </w:r>
            <w:r w:rsidR="00ED26CE">
              <w:rPr>
                <w:rFonts w:ascii="Arial Narrow" w:hAnsi="Arial Narrow"/>
              </w:rPr>
              <w:t xml:space="preserve"> of </w:t>
            </w:r>
            <w:r w:rsidR="00B13CED">
              <w:rPr>
                <w:rFonts w:ascii="Arial Narrow" w:hAnsi="Arial Narrow"/>
              </w:rPr>
              <w:t xml:space="preserve">capital or </w:t>
            </w:r>
            <w:r w:rsidR="00ED26CE">
              <w:rPr>
                <w:rFonts w:ascii="Arial Narrow" w:hAnsi="Arial Narrow"/>
              </w:rPr>
              <w:t>funds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FD10C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0A1E89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Rights of preference security holders about notices,</w:t>
            </w:r>
            <w:r w:rsidR="00ED26CE">
              <w:rPr>
                <w:rFonts w:ascii="Arial Narrow" w:hAnsi="Arial Narrow"/>
              </w:rPr>
              <w:t xml:space="preserve"> reports, accounts and meetings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0C9" w:rsidRPr="000A1E89" w:rsidRDefault="00FD10C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6.8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  <w:r w:rsidR="00245D7F">
              <w:rPr>
                <w:rFonts w:ascii="Arial Narrow" w:hAnsi="Arial Narrow"/>
              </w:rPr>
              <w:br/>
            </w:r>
            <w:r w:rsidRPr="000A1E89">
              <w:rPr>
                <w:rFonts w:ascii="Arial Narrow" w:hAnsi="Arial Narrow"/>
                <w:sz w:val="18"/>
              </w:rPr>
              <w:t>Note exception for registered schemes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Vot</w:t>
            </w:r>
            <w:r w:rsidR="00ED26CE">
              <w:rPr>
                <w:rFonts w:ascii="Arial Narrow" w:hAnsi="Arial Narrow"/>
              </w:rPr>
              <w:t>ing rights - on a show of hands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lastRenderedPageBreak/>
              <w:t>6.9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  <w:r w:rsidR="00245D7F">
              <w:rPr>
                <w:rFonts w:ascii="Arial Narrow" w:hAnsi="Arial Narrow"/>
              </w:rPr>
              <w:br/>
            </w:r>
            <w:r w:rsidRPr="000A1E89">
              <w:rPr>
                <w:rFonts w:ascii="Arial Narrow" w:hAnsi="Arial Narrow"/>
                <w:sz w:val="18"/>
              </w:rPr>
              <w:t>Note exception for registered schemes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Voting rights - on a poll</w:t>
            </w:r>
          </w:p>
          <w:p w:rsidR="000A1E89" w:rsidRPr="003C34D6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3C34D6">
              <w:rPr>
                <w:rFonts w:ascii="Arial Narrow" w:hAnsi="Arial Narrow"/>
                <w:i/>
                <w:sz w:val="18"/>
              </w:rPr>
              <w:t>Note:  Waivers are usually granted to trusts which are not registered schemes in circumstances where the Corporations L</w:t>
            </w:r>
            <w:r w:rsidR="00ED26CE" w:rsidRPr="003C34D6">
              <w:rPr>
                <w:rFonts w:ascii="Arial Narrow" w:hAnsi="Arial Narrow"/>
                <w:i/>
                <w:sz w:val="18"/>
              </w:rPr>
              <w:t>aw does not permit proxy voting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6.10</w:t>
            </w:r>
            <w:r w:rsidR="00172255" w:rsidRPr="00172255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B13CED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Removal or change to voting and </w:t>
            </w:r>
            <w:r w:rsidR="00B13CED" w:rsidRPr="000A1E89">
              <w:rPr>
                <w:rFonts w:ascii="Arial Narrow" w:hAnsi="Arial Narrow"/>
              </w:rPr>
              <w:t>divi</w:t>
            </w:r>
            <w:r w:rsidR="00B13CED">
              <w:rPr>
                <w:rFonts w:ascii="Arial Narrow" w:hAnsi="Arial Narrow"/>
              </w:rPr>
              <w:t xml:space="preserve">dend </w:t>
            </w:r>
            <w:r w:rsidR="00B13CED">
              <w:rPr>
                <w:rFonts w:ascii="Arial Narrow" w:hAnsi="Arial Narrow"/>
              </w:rPr>
              <w:t xml:space="preserve">or </w:t>
            </w:r>
            <w:r w:rsidRPr="000A1E89">
              <w:rPr>
                <w:rFonts w:ascii="Arial Narrow" w:hAnsi="Arial Narrow"/>
              </w:rPr>
              <w:t xml:space="preserve">distribution </w:t>
            </w:r>
            <w:r w:rsidR="00ED26CE">
              <w:rPr>
                <w:rFonts w:ascii="Arial Narrow" w:hAnsi="Arial Narrow"/>
              </w:rPr>
              <w:t>rights of security holders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ED336F" w:rsidRPr="000A1E89" w:rsidTr="007B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6F" w:rsidRPr="000A1E89" w:rsidRDefault="00ED336F" w:rsidP="007B7A37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6.11</w:t>
            </w:r>
            <w:r w:rsidR="00172255" w:rsidRPr="00172255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6F" w:rsidRPr="000A1E89" w:rsidRDefault="00ED336F" w:rsidP="007B7A3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6F" w:rsidRPr="000A1E89" w:rsidRDefault="00ED336F" w:rsidP="007B7A37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6F" w:rsidRPr="000A1E89" w:rsidRDefault="00ED336F" w:rsidP="007B7A37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Proportion of dividends (except for NL company), distributions, and issues of bonus securiti</w:t>
            </w:r>
            <w:r>
              <w:rPr>
                <w:rFonts w:ascii="Arial Narrow" w:hAnsi="Arial Narrow"/>
              </w:rPr>
              <w:t xml:space="preserve">es for partly paid securities. </w:t>
            </w:r>
            <w:r w:rsidRPr="000A1E89">
              <w:rPr>
                <w:rFonts w:ascii="Arial Narrow" w:hAnsi="Arial Narrow"/>
              </w:rPr>
              <w:t>Amounts paid in adv</w:t>
            </w:r>
            <w:r>
              <w:rPr>
                <w:rFonts w:ascii="Arial Narrow" w:hAnsi="Arial Narrow"/>
              </w:rPr>
              <w:t>ance of call ignored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36F" w:rsidRPr="000A1E89" w:rsidRDefault="00ED336F" w:rsidP="007B7A37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6.12</w:t>
            </w:r>
            <w:r w:rsidR="00172255" w:rsidRPr="00172255">
              <w:rPr>
                <w:rFonts w:ascii="Arial Narrow" w:hAnsi="Arial Narrow"/>
                <w:vertAlign w:val="superscript"/>
              </w:rPr>
              <w:t>2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br/>
            </w:r>
            <w:r w:rsidR="000A1E89" w:rsidRPr="000A1E89">
              <w:rPr>
                <w:rFonts w:ascii="Arial Narrow" w:hAnsi="Arial Narrow"/>
              </w:rPr>
              <w:t>AS</w:t>
            </w:r>
            <w:r>
              <w:rPr>
                <w:rFonts w:ascii="Arial Narrow" w:hAnsi="Arial Narrow"/>
              </w:rPr>
              <w:t>XSR </w:t>
            </w:r>
            <w:r w:rsidR="000A1E89" w:rsidRPr="000A1E89">
              <w:rPr>
                <w:rFonts w:ascii="Arial Narrow" w:hAnsi="Arial Narrow"/>
              </w:rPr>
              <w:t>5.12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Restricted use of divestment and disenfranchisement provisions in</w:t>
            </w:r>
            <w:r w:rsidR="00ED26CE">
              <w:rPr>
                <w:rFonts w:ascii="Arial Narrow" w:hAnsi="Arial Narrow"/>
              </w:rPr>
              <w:t xml:space="preserve"> constitutions</w:t>
            </w:r>
            <w:r w:rsidR="003C34D6">
              <w:rPr>
                <w:rFonts w:ascii="Arial Narrow" w:hAnsi="Arial Narrow"/>
              </w:rPr>
              <w:br/>
            </w:r>
            <w:r w:rsidR="00ED26CE">
              <w:rPr>
                <w:rFonts w:ascii="Arial Narrow" w:hAnsi="Arial Narrow"/>
              </w:rPr>
              <w:t xml:space="preserve">CHESS </w:t>
            </w:r>
            <w:r w:rsidR="003C34D6">
              <w:rPr>
                <w:rFonts w:ascii="Arial Narrow" w:hAnsi="Arial Narrow"/>
              </w:rPr>
              <w:t>h</w:t>
            </w:r>
            <w:r w:rsidR="00ED26CE">
              <w:rPr>
                <w:rFonts w:ascii="Arial Narrow" w:hAnsi="Arial Narrow"/>
              </w:rPr>
              <w:t>oldings </w:t>
            </w:r>
            <w:r w:rsidRPr="000A1E89">
              <w:rPr>
                <w:rFonts w:ascii="Arial Narrow" w:hAnsi="Arial Narrow"/>
              </w:rPr>
              <w:t>- require</w:t>
            </w:r>
            <w:r w:rsidR="00ED26CE">
              <w:rPr>
                <w:rFonts w:ascii="Arial Narrow" w:hAnsi="Arial Narrow"/>
              </w:rPr>
              <w:t xml:space="preserve">ments for </w:t>
            </w:r>
            <w:r w:rsidR="003C34D6">
              <w:rPr>
                <w:rFonts w:ascii="Arial Narrow" w:hAnsi="Arial Narrow"/>
              </w:rPr>
              <w:t>n</w:t>
            </w:r>
            <w:r w:rsidR="00ED26CE">
              <w:rPr>
                <w:rFonts w:ascii="Arial Narrow" w:hAnsi="Arial Narrow"/>
              </w:rPr>
              <w:t xml:space="preserve">otices of </w:t>
            </w:r>
            <w:r w:rsidR="003C34D6">
              <w:rPr>
                <w:rFonts w:ascii="Arial Narrow" w:hAnsi="Arial Narrow"/>
              </w:rPr>
              <w:t>d</w:t>
            </w:r>
            <w:r w:rsidR="00ED26CE">
              <w:rPr>
                <w:rFonts w:ascii="Arial Narrow" w:hAnsi="Arial Narrow"/>
              </w:rPr>
              <w:t>ivestment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6.13</w:t>
            </w:r>
            <w:r w:rsidR="00172255" w:rsidRPr="00172255">
              <w:rPr>
                <w:rFonts w:ascii="Arial Narrow" w:hAnsi="Arial Narrow"/>
                <w:vertAlign w:val="superscript"/>
              </w:rPr>
              <w:t>3</w:t>
            </w:r>
            <w:r w:rsidRPr="000A1E89">
              <w:rPr>
                <w:rFonts w:ascii="Arial Narrow" w:hAnsi="Arial Narrow"/>
              </w:rPr>
              <w:t>,</w:t>
            </w:r>
            <w:r w:rsidR="00724A1C">
              <w:rPr>
                <w:rFonts w:ascii="Arial Narrow" w:hAnsi="Arial Narrow"/>
              </w:rPr>
              <w:br/>
              <w:t>ASXSR</w:t>
            </w:r>
            <w:r w:rsidRPr="000A1E89">
              <w:rPr>
                <w:rFonts w:ascii="Arial Narrow" w:hAnsi="Arial Narrow"/>
              </w:rPr>
              <w:t xml:space="preserve"> 8.15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Lien on securities, distributions and dividends restricted to unpaid calls and instalments, amounts owed under employee incentive schemes, and amounts payabl</w:t>
            </w:r>
            <w:r w:rsidR="003C34D6">
              <w:rPr>
                <w:rFonts w:ascii="Arial Narrow" w:hAnsi="Arial Narrow"/>
              </w:rPr>
              <w:t>e by law.</w:t>
            </w:r>
            <w:r w:rsidR="003C34D6">
              <w:rPr>
                <w:rFonts w:ascii="Arial Narrow" w:hAnsi="Arial Narrow"/>
              </w:rPr>
              <w:br/>
            </w:r>
            <w:r w:rsidR="003C2498">
              <w:rPr>
                <w:rFonts w:ascii="Arial Narrow" w:hAnsi="Arial Narrow"/>
              </w:rPr>
              <w:t>Holding l</w:t>
            </w:r>
            <w:r w:rsidR="00ED26CE">
              <w:rPr>
                <w:rFonts w:ascii="Arial Narrow" w:hAnsi="Arial Narrow"/>
              </w:rPr>
              <w:t>ock - liens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  <w:lang w:val="fr-FR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  <w:lang w:val="fr-FR"/>
              </w:rPr>
            </w:pPr>
            <w:r w:rsidRPr="000A1E89">
              <w:rPr>
                <w:rFonts w:ascii="Arial Narrow" w:hAnsi="Arial Narrow"/>
                <w:lang w:val="fr-FR"/>
              </w:rPr>
              <w:t>6.24, Appendix</w:t>
            </w:r>
            <w:r w:rsidR="00724A1C">
              <w:rPr>
                <w:rFonts w:ascii="Arial Narrow" w:hAnsi="Arial Narrow"/>
                <w:lang w:val="fr-FR"/>
              </w:rPr>
              <w:t xml:space="preserve"> 6A,</w:t>
            </w:r>
            <w:r w:rsidR="00724A1C">
              <w:rPr>
                <w:rFonts w:ascii="Arial Narrow" w:hAnsi="Arial Narrow"/>
                <w:lang w:val="fr-FR"/>
              </w:rPr>
              <w:br/>
              <w:t>ASXSR</w:t>
            </w:r>
            <w:r w:rsidRPr="000A1E89">
              <w:rPr>
                <w:rFonts w:ascii="Arial Narrow" w:hAnsi="Arial Narrow"/>
                <w:lang w:val="fr-FR"/>
              </w:rPr>
              <w:t xml:space="preserve"> 5.22.1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Timetables - dividends and distributions, interest on debt securities, calls, </w:t>
            </w:r>
            <w:r w:rsidR="00B13CED">
              <w:rPr>
                <w:rFonts w:ascii="Arial Narrow" w:hAnsi="Arial Narrow"/>
              </w:rPr>
              <w:t xml:space="preserve">conversion or </w:t>
            </w:r>
            <w:r w:rsidRPr="000A1E89">
              <w:rPr>
                <w:rFonts w:ascii="Arial Narrow" w:hAnsi="Arial Narrow"/>
              </w:rPr>
              <w:t xml:space="preserve">expiry of </w:t>
            </w:r>
            <w:r w:rsidR="00ED26CE">
              <w:rPr>
                <w:rFonts w:ascii="Arial Narrow" w:hAnsi="Arial Narrow"/>
              </w:rPr>
              <w:t>convertible securities</w:t>
            </w:r>
          </w:p>
          <w:p w:rsidR="000A1E89" w:rsidRPr="003C34D6" w:rsidRDefault="000A1E89" w:rsidP="00D957AD">
            <w:pPr>
              <w:spacing w:before="60" w:after="60"/>
              <w:rPr>
                <w:rFonts w:ascii="Arial Narrow" w:hAnsi="Arial Narrow"/>
                <w:i/>
              </w:rPr>
            </w:pPr>
            <w:r w:rsidRPr="003C34D6">
              <w:rPr>
                <w:rFonts w:ascii="Arial Narrow" w:hAnsi="Arial Narrow"/>
                <w:i/>
                <w:sz w:val="18"/>
              </w:rPr>
              <w:t>Note:  Waivers are usually granted to trusts relating to announcements of distributions because</w:t>
            </w:r>
            <w:r w:rsidR="00D957AD">
              <w:rPr>
                <w:rFonts w:ascii="Arial Narrow" w:hAnsi="Arial Narrow"/>
                <w:i/>
                <w:sz w:val="18"/>
              </w:rPr>
              <w:t>,</w:t>
            </w:r>
            <w:r w:rsidRPr="003C34D6">
              <w:rPr>
                <w:rFonts w:ascii="Arial Narrow" w:hAnsi="Arial Narrow"/>
                <w:i/>
                <w:sz w:val="18"/>
              </w:rPr>
              <w:t xml:space="preserve"> for tax reasons</w:t>
            </w:r>
            <w:r w:rsidR="00D957AD">
              <w:rPr>
                <w:rFonts w:ascii="Arial Narrow" w:hAnsi="Arial Narrow"/>
                <w:i/>
                <w:sz w:val="18"/>
              </w:rPr>
              <w:t>,</w:t>
            </w:r>
            <w:r w:rsidRPr="003C34D6">
              <w:rPr>
                <w:rFonts w:ascii="Arial Narrow" w:hAnsi="Arial Narrow"/>
                <w:i/>
                <w:sz w:val="18"/>
              </w:rPr>
              <w:t xml:space="preserve"> they </w:t>
            </w:r>
            <w:r w:rsidR="00D957AD">
              <w:rPr>
                <w:rFonts w:ascii="Arial Narrow" w:hAnsi="Arial Narrow"/>
                <w:i/>
                <w:sz w:val="18"/>
              </w:rPr>
              <w:t>may</w:t>
            </w:r>
            <w:r w:rsidRPr="003C34D6">
              <w:rPr>
                <w:rFonts w:ascii="Arial Narrow" w:hAnsi="Arial Narrow"/>
                <w:i/>
                <w:sz w:val="18"/>
              </w:rPr>
              <w:t xml:space="preserve"> only</w:t>
            </w:r>
            <w:r w:rsidR="00D957AD">
              <w:rPr>
                <w:rFonts w:ascii="Arial Narrow" w:hAnsi="Arial Narrow"/>
                <w:i/>
                <w:sz w:val="18"/>
              </w:rPr>
              <w:t xml:space="preserve"> be able to</w:t>
            </w:r>
            <w:r w:rsidRPr="003C34D6">
              <w:rPr>
                <w:rFonts w:ascii="Arial Narrow" w:hAnsi="Arial Narrow"/>
                <w:i/>
                <w:sz w:val="18"/>
              </w:rPr>
              <w:t xml:space="preserve"> give </w:t>
            </w:r>
            <w:r w:rsidR="00ED26CE" w:rsidRPr="003C34D6">
              <w:rPr>
                <w:rFonts w:ascii="Arial Narrow" w:hAnsi="Arial Narrow"/>
                <w:i/>
                <w:sz w:val="18"/>
              </w:rPr>
              <w:t>an estimate of the distribution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A63544" w:rsidP="00A63544">
            <w:pPr>
              <w:spacing w:before="60" w:after="6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Appendix 6A para 3</w:t>
            </w:r>
            <w:r w:rsidR="000A1E89" w:rsidRPr="000A1E89">
              <w:rPr>
                <w:rFonts w:ascii="Arial Narrow" w:hAnsi="Arial Narrow"/>
                <w:lang w:val="fr-FR"/>
              </w:rPr>
              <w:t>.</w:t>
            </w:r>
            <w:r>
              <w:rPr>
                <w:rFonts w:ascii="Arial Narrow" w:hAnsi="Arial Narrow"/>
                <w:lang w:val="fr-FR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245D7F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Requirements o</w:t>
            </w:r>
            <w:r w:rsidR="00ED26CE">
              <w:rPr>
                <w:rFonts w:ascii="Arial Narrow" w:hAnsi="Arial Narrow"/>
              </w:rPr>
              <w:t>f call notices for NL companies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A63544" w:rsidP="00724A1C">
            <w:pPr>
              <w:spacing w:before="60" w:after="6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Appendix 6A para 4.2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Requirements of call notices for e</w:t>
            </w:r>
            <w:r w:rsidR="00ED26CE">
              <w:rPr>
                <w:rFonts w:ascii="Arial Narrow" w:hAnsi="Arial Narrow"/>
              </w:rPr>
              <w:t>ntities other than NL companies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7.1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Restr</w:t>
            </w:r>
            <w:r w:rsidR="00ED26CE">
              <w:rPr>
                <w:rFonts w:ascii="Arial Narrow" w:hAnsi="Arial Narrow"/>
              </w:rPr>
              <w:t>iction on issues of securities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7.24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Reorganisations of issu</w:t>
            </w:r>
            <w:r w:rsidR="00ED26CE">
              <w:rPr>
                <w:rFonts w:ascii="Arial Narrow" w:hAnsi="Arial Narrow"/>
              </w:rPr>
              <w:t>ed capital - partly paid shares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A6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7.26</w:t>
            </w:r>
            <w:r w:rsidR="00ED336F">
              <w:rPr>
                <w:rFonts w:ascii="Arial Narrow" w:hAnsi="Arial Narrow"/>
              </w:rPr>
              <w:t>.2</w:t>
            </w:r>
            <w:r w:rsidR="00172255" w:rsidRPr="00172255">
              <w:rPr>
                <w:rFonts w:ascii="Arial Narrow" w:hAnsi="Arial Narrow"/>
                <w:vertAlign w:val="superscript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Cancellation of forfeited partly paid shar</w:t>
            </w:r>
            <w:r w:rsidR="00ED26CE">
              <w:rPr>
                <w:rFonts w:ascii="Arial Narrow" w:hAnsi="Arial Narrow"/>
              </w:rPr>
              <w:t>es by limited liability company</w:t>
            </w:r>
            <w:r w:rsidR="00ED336F">
              <w:rPr>
                <w:rFonts w:ascii="Arial Narrow" w:hAnsi="Arial Narrow"/>
              </w:rPr>
              <w:t xml:space="preserve"> – holder must remain liable for unpaid amounts unless holders of ordinary shares approve otherwise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3C34D6" w:rsidP="00724A1C">
            <w:pPr>
              <w:spacing w:before="60" w:after="6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7.40, Appendix 7A,</w:t>
            </w:r>
            <w:r>
              <w:rPr>
                <w:rFonts w:ascii="Arial Narrow" w:hAnsi="Arial Narrow"/>
                <w:lang w:val="fr-FR"/>
              </w:rPr>
              <w:br/>
            </w:r>
            <w:r w:rsidR="00724A1C">
              <w:rPr>
                <w:rFonts w:ascii="Arial Narrow" w:hAnsi="Arial Narrow"/>
                <w:lang w:val="fr-FR"/>
              </w:rPr>
              <w:t>ASXSR</w:t>
            </w:r>
            <w:r w:rsidR="000A1E89" w:rsidRPr="000A1E89">
              <w:rPr>
                <w:rFonts w:ascii="Arial Narrow" w:hAnsi="Arial Narrow"/>
                <w:lang w:val="fr-FR"/>
              </w:rPr>
              <w:t xml:space="preserve"> 5.22.1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Timetables - bonus issues, pro rata is</w:t>
            </w:r>
            <w:r w:rsidR="00ED26CE">
              <w:rPr>
                <w:rFonts w:ascii="Arial Narrow" w:hAnsi="Arial Narrow"/>
              </w:rPr>
              <w:t>sues, reorganisation of capital</w:t>
            </w:r>
            <w:r w:rsidR="00A63544">
              <w:rPr>
                <w:rFonts w:ascii="Arial Narrow" w:hAnsi="Arial Narrow"/>
              </w:rPr>
              <w:t xml:space="preserve"> etc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8.1</w:t>
            </w:r>
            <w:r w:rsidR="00724A1C">
              <w:rPr>
                <w:rFonts w:ascii="Arial Narrow" w:hAnsi="Arial Narrow"/>
              </w:rPr>
              <w:br/>
              <w:t>ASXSR</w:t>
            </w:r>
            <w:r w:rsidRPr="000A1E89">
              <w:rPr>
                <w:rFonts w:ascii="Arial Narrow" w:hAnsi="Arial Narrow"/>
              </w:rPr>
              <w:t xml:space="preserve"> 1.2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Compli</w:t>
            </w:r>
            <w:r w:rsidR="00ED26CE">
              <w:rPr>
                <w:rFonts w:ascii="Arial Narrow" w:hAnsi="Arial Narrow"/>
              </w:rPr>
              <w:t>ance with AS</w:t>
            </w:r>
            <w:r w:rsidR="003C34D6">
              <w:rPr>
                <w:rFonts w:ascii="Arial Narrow" w:hAnsi="Arial Narrow"/>
              </w:rPr>
              <w:t>X</w:t>
            </w:r>
            <w:r w:rsidR="00ED26CE">
              <w:rPr>
                <w:rFonts w:ascii="Arial Narrow" w:hAnsi="Arial Narrow"/>
              </w:rPr>
              <w:t xml:space="preserve"> Settlement Rules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lastRenderedPageBreak/>
              <w:t>8.3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CHESS approved securities</w:t>
            </w:r>
            <w:r w:rsidR="003C34D6">
              <w:rPr>
                <w:rFonts w:ascii="Arial Narrow" w:hAnsi="Arial Narrow"/>
              </w:rPr>
              <w:t xml:space="preserve"> - i</w:t>
            </w:r>
            <w:r w:rsidR="00ED26CE">
              <w:rPr>
                <w:rFonts w:ascii="Arial Narrow" w:hAnsi="Arial Narrow"/>
              </w:rPr>
              <w:t xml:space="preserve">ssuer </w:t>
            </w:r>
            <w:r w:rsidR="003C34D6">
              <w:rPr>
                <w:rFonts w:ascii="Arial Narrow" w:hAnsi="Arial Narrow"/>
              </w:rPr>
              <w:t>s</w:t>
            </w:r>
            <w:r w:rsidR="00ED26CE">
              <w:rPr>
                <w:rFonts w:ascii="Arial Narrow" w:hAnsi="Arial Narrow"/>
              </w:rPr>
              <w:t xml:space="preserve">ponsored </w:t>
            </w:r>
            <w:r w:rsidR="003C34D6">
              <w:rPr>
                <w:rFonts w:ascii="Arial Narrow" w:hAnsi="Arial Narrow"/>
              </w:rPr>
              <w:t>s</w:t>
            </w:r>
            <w:r w:rsidR="00ED26CE">
              <w:rPr>
                <w:rFonts w:ascii="Arial Narrow" w:hAnsi="Arial Narrow"/>
              </w:rPr>
              <w:t>ubregister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A63544" w:rsidP="00A63544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8.5, 8.6, 8.7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Statement requirements for holders </w:t>
            </w:r>
            <w:r w:rsidR="00ED26CE">
              <w:rPr>
                <w:rFonts w:ascii="Arial Narrow" w:hAnsi="Arial Narrow"/>
              </w:rPr>
              <w:t xml:space="preserve">on </w:t>
            </w:r>
            <w:r w:rsidR="003C34D6">
              <w:rPr>
                <w:rFonts w:ascii="Arial Narrow" w:hAnsi="Arial Narrow"/>
              </w:rPr>
              <w:t>i</w:t>
            </w:r>
            <w:r w:rsidR="00ED26CE">
              <w:rPr>
                <w:rFonts w:ascii="Arial Narrow" w:hAnsi="Arial Narrow"/>
              </w:rPr>
              <w:t xml:space="preserve">ssuer </w:t>
            </w:r>
            <w:r w:rsidR="003C34D6">
              <w:rPr>
                <w:rFonts w:ascii="Arial Narrow" w:hAnsi="Arial Narrow"/>
              </w:rPr>
              <w:t>s</w:t>
            </w:r>
            <w:r w:rsidR="00ED26CE">
              <w:rPr>
                <w:rFonts w:ascii="Arial Narrow" w:hAnsi="Arial Narrow"/>
              </w:rPr>
              <w:t xml:space="preserve">ponsored </w:t>
            </w:r>
            <w:r w:rsidR="003C34D6">
              <w:rPr>
                <w:rFonts w:ascii="Arial Narrow" w:hAnsi="Arial Narrow"/>
              </w:rPr>
              <w:t>s</w:t>
            </w:r>
            <w:r w:rsidR="00ED26CE">
              <w:rPr>
                <w:rFonts w:ascii="Arial Narrow" w:hAnsi="Arial Narrow"/>
              </w:rPr>
              <w:t>ubregister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8.10</w:t>
            </w:r>
            <w:r>
              <w:rPr>
                <w:rFonts w:ascii="Arial Narrow" w:hAnsi="Arial Narrow"/>
              </w:rPr>
              <w:br/>
              <w:t>ASXSR</w:t>
            </w:r>
            <w:r w:rsidR="000A1E89" w:rsidRPr="000A1E89">
              <w:rPr>
                <w:rFonts w:ascii="Arial Narrow" w:hAnsi="Arial Narrow"/>
              </w:rPr>
              <w:t xml:space="preserve"> 5.8.1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No interference with registration of paper-based transfers or generation of p</w:t>
            </w:r>
            <w:r w:rsidR="00ED26CE">
              <w:rPr>
                <w:rFonts w:ascii="Arial Narrow" w:hAnsi="Arial Narrow"/>
              </w:rPr>
              <w:t>roper AS</w:t>
            </w:r>
            <w:r w:rsidR="003C34D6">
              <w:rPr>
                <w:rFonts w:ascii="Arial Narrow" w:hAnsi="Arial Narrow"/>
              </w:rPr>
              <w:t xml:space="preserve">X Settlement </w:t>
            </w:r>
            <w:r w:rsidR="00ED26CE">
              <w:rPr>
                <w:rFonts w:ascii="Arial Narrow" w:hAnsi="Arial Narrow"/>
              </w:rPr>
              <w:t>transfer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8.11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Prohibition on use of pre-regi</w:t>
            </w:r>
            <w:r w:rsidR="00ED26CE">
              <w:rPr>
                <w:rFonts w:ascii="Arial Narrow" w:hAnsi="Arial Narrow"/>
              </w:rPr>
              <w:t>stration statutory declarations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8.12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Reservation of securities for takeover offeror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8.14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Registration of transfers and issue of c</w:t>
            </w:r>
            <w:r w:rsidR="00ED26CE">
              <w:rPr>
                <w:rFonts w:ascii="Arial Narrow" w:hAnsi="Arial Narrow"/>
              </w:rPr>
              <w:t>ertificates etc. without charge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8.17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Registry</w:t>
            </w:r>
            <w:r w:rsidR="00ED26CE">
              <w:rPr>
                <w:rFonts w:ascii="Arial Narrow" w:hAnsi="Arial Narrow"/>
              </w:rPr>
              <w:t xml:space="preserve"> offices to remain open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  <w:lang w:val="fr-FR"/>
              </w:rPr>
            </w:pPr>
            <w:r w:rsidRPr="000A1E89">
              <w:rPr>
                <w:rFonts w:ascii="Arial Narrow" w:hAnsi="Arial Narrow"/>
                <w:lang w:val="fr-FR"/>
              </w:rPr>
              <w:t>8.21, Appendix 8A</w:t>
            </w:r>
            <w:r w:rsidR="00724A1C">
              <w:rPr>
                <w:rFonts w:ascii="Arial Narrow" w:hAnsi="Arial Narrow"/>
                <w:lang w:val="fr-FR"/>
              </w:rPr>
              <w:t>,</w:t>
            </w:r>
            <w:r w:rsidR="00724A1C">
              <w:rPr>
                <w:rFonts w:ascii="Arial Narrow" w:hAnsi="Arial Narrow"/>
                <w:lang w:val="fr-FR"/>
              </w:rPr>
              <w:br/>
              <w:t>ASXSR</w:t>
            </w:r>
            <w:r w:rsidRPr="000A1E89">
              <w:rPr>
                <w:rFonts w:ascii="Arial Narrow" w:hAnsi="Arial Narrow"/>
                <w:lang w:val="fr-FR"/>
              </w:rPr>
              <w:t xml:space="preserve"> 5.22.1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Time limits - sending certificates, marking of transfer forms,</w:t>
            </w:r>
            <w:r w:rsidR="00ED26CE">
              <w:rPr>
                <w:rFonts w:ascii="Arial Narrow" w:hAnsi="Arial Narrow"/>
              </w:rPr>
              <w:t xml:space="preserve"> </w:t>
            </w:r>
            <w:r w:rsidRPr="000A1E89">
              <w:rPr>
                <w:rFonts w:ascii="Arial Narrow" w:hAnsi="Arial Narrow"/>
              </w:rPr>
              <w:t>conversions between subregisters.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Appendix 8A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CHESS approved securities - </w:t>
            </w:r>
            <w:r w:rsidR="003C34D6">
              <w:rPr>
                <w:rFonts w:ascii="Arial Narrow" w:hAnsi="Arial Narrow"/>
              </w:rPr>
              <w:t>c</w:t>
            </w:r>
            <w:r w:rsidRPr="000A1E89">
              <w:rPr>
                <w:rFonts w:ascii="Arial Narrow" w:hAnsi="Arial Narrow"/>
              </w:rPr>
              <w:t xml:space="preserve">onversion from </w:t>
            </w:r>
            <w:r w:rsidR="003C34D6">
              <w:rPr>
                <w:rFonts w:ascii="Arial Narrow" w:hAnsi="Arial Narrow"/>
              </w:rPr>
              <w:t>c</w:t>
            </w:r>
            <w:r w:rsidRPr="000A1E89">
              <w:rPr>
                <w:rFonts w:ascii="Arial Narrow" w:hAnsi="Arial Narrow"/>
              </w:rPr>
              <w:t xml:space="preserve">ertificated to </w:t>
            </w:r>
            <w:r w:rsidR="003C34D6">
              <w:rPr>
                <w:rFonts w:ascii="Arial Narrow" w:hAnsi="Arial Narrow"/>
              </w:rPr>
              <w:t>i</w:t>
            </w:r>
            <w:r w:rsidRPr="000A1E89">
              <w:rPr>
                <w:rFonts w:ascii="Arial Narrow" w:hAnsi="Arial Narrow"/>
              </w:rPr>
              <w:t xml:space="preserve">ssuer </w:t>
            </w:r>
            <w:r w:rsidR="003C34D6">
              <w:rPr>
                <w:rFonts w:ascii="Arial Narrow" w:hAnsi="Arial Narrow"/>
              </w:rPr>
              <w:t>s</w:t>
            </w:r>
            <w:r w:rsidRPr="000A1E89">
              <w:rPr>
                <w:rFonts w:ascii="Arial Narrow" w:hAnsi="Arial Narrow"/>
              </w:rPr>
              <w:t>ponsore</w:t>
            </w:r>
            <w:r w:rsidR="00ED26CE">
              <w:rPr>
                <w:rFonts w:ascii="Arial Narrow" w:hAnsi="Arial Narrow"/>
              </w:rPr>
              <w:t xml:space="preserve">d </w:t>
            </w:r>
            <w:r w:rsidR="003C34D6">
              <w:rPr>
                <w:rFonts w:ascii="Arial Narrow" w:hAnsi="Arial Narrow"/>
              </w:rPr>
              <w:t>s</w:t>
            </w:r>
            <w:r w:rsidR="00ED26CE">
              <w:rPr>
                <w:rFonts w:ascii="Arial Narrow" w:hAnsi="Arial Narrow"/>
              </w:rPr>
              <w:t>ubregister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10.11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Participation o</w:t>
            </w:r>
            <w:r w:rsidR="00ED26CE">
              <w:rPr>
                <w:rFonts w:ascii="Arial Narrow" w:hAnsi="Arial Narrow"/>
              </w:rPr>
              <w:t>f related parties in new issues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0A1E89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10.17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245D7F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Payments to directors of a company.  Increase of fees subject to</w:t>
            </w:r>
            <w:r w:rsidR="003C34D6">
              <w:rPr>
                <w:rFonts w:ascii="Arial Narrow" w:hAnsi="Arial Narrow"/>
              </w:rPr>
              <w:t xml:space="preserve"> approval (including n</w:t>
            </w:r>
            <w:r w:rsidR="00ED26CE">
              <w:rPr>
                <w:rFonts w:ascii="Arial Narrow" w:hAnsi="Arial Narrow"/>
              </w:rPr>
              <w:t>otice requirements</w:t>
            </w:r>
            <w:r w:rsidR="003C34D6">
              <w:rPr>
                <w:rFonts w:ascii="Arial Narrow" w:hAnsi="Arial Narrow"/>
              </w:rPr>
              <w:t>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E89" w:rsidRPr="000A1E89" w:rsidRDefault="000A1E89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10.18, 10.19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A63544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Termination benefits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11.2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Disposal of main undertaking requires approval of</w:t>
            </w:r>
            <w:r w:rsidR="00ED26CE">
              <w:rPr>
                <w:rFonts w:ascii="Arial Narrow" w:hAnsi="Arial Narrow"/>
              </w:rPr>
              <w:t xml:space="preserve"> holders of ordinary securities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14.2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Requirements for proxy forms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14.3</w:t>
            </w:r>
            <w:r w:rsidR="00172255" w:rsidRPr="00172255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245D7F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Time for acceptance of nominations for elec</w:t>
            </w:r>
            <w:r w:rsidR="00ED26CE">
              <w:rPr>
                <w:rFonts w:ascii="Arial Narrow" w:hAnsi="Arial Narrow"/>
              </w:rPr>
              <w:t>tions of directors of companies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14.4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Limit on directors of companies holding office including those appointed to fill casual vacancy and managin</w:t>
            </w:r>
            <w:r w:rsidR="00ED26CE">
              <w:rPr>
                <w:rFonts w:ascii="Arial Narrow" w:hAnsi="Arial Narrow"/>
              </w:rPr>
              <w:t>g directors where more than one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14.5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Election of directors o</w:t>
            </w:r>
            <w:r w:rsidR="00ED26CE">
              <w:rPr>
                <w:rFonts w:ascii="Arial Narrow" w:hAnsi="Arial Narrow"/>
              </w:rPr>
              <w:t>f companies each year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15.10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Documents for overseas security h</w:t>
            </w:r>
            <w:r w:rsidR="00ED26CE">
              <w:rPr>
                <w:rFonts w:ascii="Arial Narrow" w:hAnsi="Arial Narrow"/>
              </w:rPr>
              <w:t>olders to be sent by air or fax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A6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A63544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</w:rPr>
              <w:t>15.12.1</w:t>
            </w:r>
            <w:r w:rsidR="00172255" w:rsidRPr="00172255"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A63544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A63544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</w:rPr>
              <w:t xml:space="preserve">Prohibition on disposal of restricted </w:t>
            </w:r>
            <w:r w:rsidR="00ED26CE" w:rsidRPr="00A63544">
              <w:rPr>
                <w:rFonts w:ascii="Arial Narrow" w:hAnsi="Arial Narrow"/>
              </w:rPr>
              <w:t>securities during escrow period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A63544" w:rsidRPr="000A1E89" w:rsidTr="00A6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Default="00A63544" w:rsidP="00A63544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15.12.2</w:t>
            </w:r>
            <w:r w:rsidR="00172255" w:rsidRPr="00172255"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A63544" w:rsidP="00A63544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A63544" w:rsidP="00A63544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A63544" w:rsidRDefault="00A63544" w:rsidP="003C249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Restricted securities in a quoted class to be kept on issuer sponsored subregister and to </w:t>
            </w:r>
            <w:r w:rsidR="003C2498">
              <w:rPr>
                <w:rFonts w:ascii="Arial Narrow" w:hAnsi="Arial Narrow"/>
              </w:rPr>
              <w:t xml:space="preserve">have </w:t>
            </w:r>
            <w:r>
              <w:rPr>
                <w:rFonts w:ascii="Arial Narrow" w:hAnsi="Arial Narrow"/>
              </w:rPr>
              <w:t>a holding lock</w:t>
            </w:r>
            <w:r w:rsidR="003C2498">
              <w:rPr>
                <w:rFonts w:ascii="Arial Narrow" w:hAnsi="Arial Narrow"/>
              </w:rPr>
              <w:t xml:space="preserve"> applied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A63544" w:rsidP="00A63544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A6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A63544" w:rsidRDefault="00A63544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15.12.3</w:t>
            </w:r>
            <w:r w:rsidR="00172255" w:rsidRPr="00172255"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A63544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A63544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3C2498">
            <w:pPr>
              <w:spacing w:before="60" w:after="60"/>
              <w:rPr>
                <w:rFonts w:ascii="Arial Narrow" w:hAnsi="Arial Narrow"/>
              </w:rPr>
            </w:pPr>
            <w:r w:rsidRPr="00A63544">
              <w:rPr>
                <w:rFonts w:ascii="Arial Narrow" w:hAnsi="Arial Narrow"/>
              </w:rPr>
              <w:t>Entity must refuse to acknowledge a disposal of restric</w:t>
            </w:r>
            <w:r w:rsidR="00ED26CE" w:rsidRPr="00A63544">
              <w:rPr>
                <w:rFonts w:ascii="Arial Narrow" w:hAnsi="Arial Narrow"/>
              </w:rPr>
              <w:t xml:space="preserve">ted securities </w:t>
            </w:r>
            <w:r w:rsidR="003C2498">
              <w:rPr>
                <w:rFonts w:ascii="Arial Narrow" w:hAnsi="Arial Narrow"/>
              </w:rPr>
              <w:t>during the</w:t>
            </w:r>
            <w:r w:rsidR="00ED26CE" w:rsidRPr="00A63544">
              <w:rPr>
                <w:rFonts w:ascii="Arial Narrow" w:hAnsi="Arial Narrow"/>
              </w:rPr>
              <w:t xml:space="preserve"> escrow period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A63544" w:rsidRPr="000A1E89" w:rsidTr="00A6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Default="00A63544" w:rsidP="00A63544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15.12.4</w:t>
            </w:r>
            <w:r w:rsidR="00172255" w:rsidRPr="00172255"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A63544" w:rsidP="00A63544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A63544" w:rsidP="00A63544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3C2498" w:rsidP="003C249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Holder of restricted securities not entitled to a return of capital during the escrow period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3544" w:rsidRPr="000A1E89" w:rsidRDefault="00A63544" w:rsidP="00A63544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A635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A63544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15.12.5</w:t>
            </w:r>
            <w:r w:rsidR="00172255" w:rsidRPr="00172255">
              <w:rPr>
                <w:rFonts w:ascii="Arial Narrow" w:hAnsi="Arial Narrow"/>
                <w:vertAlign w:val="superscript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A63544" w:rsidP="003C2498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D</w:t>
            </w:r>
            <w:r w:rsidRPr="000A1E89">
              <w:rPr>
                <w:rFonts w:ascii="Arial Narrow" w:hAnsi="Arial Narrow"/>
              </w:rPr>
              <w:t>ividend</w:t>
            </w:r>
            <w:r>
              <w:rPr>
                <w:rFonts w:ascii="Arial Narrow" w:hAnsi="Arial Narrow"/>
              </w:rPr>
              <w:t>,</w:t>
            </w:r>
            <w:r w:rsidRPr="000A1E89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distribution</w:t>
            </w:r>
            <w:r w:rsidR="00724A1C" w:rsidRPr="000A1E89">
              <w:rPr>
                <w:rFonts w:ascii="Arial Narrow" w:hAnsi="Arial Narrow"/>
              </w:rPr>
              <w:t xml:space="preserve"> and voting rights to end if breach of </w:t>
            </w:r>
            <w:r w:rsidR="003C2498">
              <w:rPr>
                <w:rFonts w:ascii="Arial Narrow" w:hAnsi="Arial Narrow"/>
              </w:rPr>
              <w:t>restriction deed or constitution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5400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15.13</w:t>
            </w:r>
            <w:r w:rsidR="00172255" w:rsidRPr="00172255">
              <w:rPr>
                <w:rFonts w:ascii="Arial Narrow" w:hAnsi="Arial Narrow"/>
                <w:vertAlign w:val="superscript"/>
              </w:rPr>
              <w:t>3</w:t>
            </w:r>
            <w:r>
              <w:rPr>
                <w:rFonts w:ascii="Arial Narrow" w:hAnsi="Arial Narrow"/>
              </w:rPr>
              <w:t>,</w:t>
            </w:r>
            <w:r w:rsidR="0075400C">
              <w:rPr>
                <w:rFonts w:ascii="Arial Narrow" w:hAnsi="Arial Narrow"/>
              </w:rPr>
              <w:t xml:space="preserve"> 15.13A,15.13B,</w:t>
            </w:r>
            <w:r w:rsidR="0075400C">
              <w:rPr>
                <w:rFonts w:ascii="Arial Narrow" w:hAnsi="Arial Narrow"/>
              </w:rPr>
              <w:br/>
            </w: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5.12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Restriction on provisions for sale of security holdings of </w:t>
            </w:r>
            <w:r w:rsidR="003C34D6">
              <w:rPr>
                <w:rFonts w:ascii="Arial Narrow" w:hAnsi="Arial Narrow"/>
              </w:rPr>
              <w:t>less than a marketable parcel.</w:t>
            </w:r>
            <w:r w:rsidR="003C34D6">
              <w:rPr>
                <w:rFonts w:ascii="Arial Narrow" w:hAnsi="Arial Narrow"/>
              </w:rPr>
              <w:br/>
            </w:r>
            <w:r w:rsidRPr="000A1E89">
              <w:rPr>
                <w:rFonts w:ascii="Arial Narrow" w:hAnsi="Arial Narrow"/>
              </w:rPr>
              <w:t>Require</w:t>
            </w:r>
            <w:r w:rsidR="00ED26CE">
              <w:rPr>
                <w:rFonts w:ascii="Arial Narrow" w:hAnsi="Arial Narrow"/>
              </w:rPr>
              <w:t>ments for notices of divestment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15.14</w:t>
            </w:r>
            <w:r w:rsidR="00172255" w:rsidRPr="00172255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Prohibition on sanctions or penalties in trust constitution to enforce provisions relating to acquisitions of units above a lim</w:t>
            </w:r>
            <w:r w:rsidR="00ED26CE">
              <w:rPr>
                <w:rFonts w:ascii="Arial Narrow" w:hAnsi="Arial Narrow"/>
              </w:rPr>
              <w:t>it or substantial shareholdings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15.15</w:t>
            </w:r>
            <w:r w:rsidR="00172255" w:rsidRPr="00172255">
              <w:rPr>
                <w:rFonts w:ascii="Arial Narrow" w:hAnsi="Arial Narrow"/>
                <w:vertAlign w:val="superscript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X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Foreign companies - prohibition on sanctions or penalties to enforce provisions relating to takeove</w:t>
            </w:r>
            <w:r w:rsidR="00ED26CE">
              <w:rPr>
                <w:rFonts w:ascii="Arial Narrow" w:hAnsi="Arial Narrow"/>
              </w:rPr>
              <w:t>rs or substantial shareholdings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definitions of "Record Date" </w:t>
            </w:r>
            <w:r w:rsidR="003C34D6">
              <w:rPr>
                <w:rFonts w:ascii="Arial Narrow" w:hAnsi="Arial Narrow"/>
              </w:rPr>
              <w:t>and</w:t>
            </w:r>
            <w:r w:rsidRPr="000A1E89">
              <w:rPr>
                <w:rFonts w:ascii="Arial Narrow" w:hAnsi="Arial Narrow"/>
              </w:rPr>
              <w:t xml:space="preserve"> "End of Day"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Record date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8.6.1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CHESS </w:t>
            </w:r>
            <w:r w:rsidR="003C34D6">
              <w:rPr>
                <w:rFonts w:ascii="Arial Narrow" w:hAnsi="Arial Narrow"/>
              </w:rPr>
              <w:t>s</w:t>
            </w:r>
            <w:r w:rsidRPr="000A1E89">
              <w:rPr>
                <w:rFonts w:ascii="Arial Narrow" w:hAnsi="Arial Narrow"/>
              </w:rPr>
              <w:t>ubregister f</w:t>
            </w:r>
            <w:r w:rsidR="00ED26CE">
              <w:rPr>
                <w:rFonts w:ascii="Arial Narrow" w:hAnsi="Arial Narrow"/>
              </w:rPr>
              <w:t>orms part of principal register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8.10.1</w:t>
            </w:r>
            <w:r w:rsidR="00172255" w:rsidRPr="00172255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CHESS hol</w:t>
            </w:r>
            <w:r w:rsidR="00ED26CE">
              <w:rPr>
                <w:rFonts w:ascii="Arial Narrow" w:hAnsi="Arial Narrow"/>
              </w:rPr>
              <w:t>dings - maximum 3 joint holders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8.10.2</w:t>
            </w:r>
            <w:r w:rsidR="00172255" w:rsidRPr="00172255">
              <w:rPr>
                <w:rFonts w:ascii="Arial Narrow" w:hAnsi="Arial Narrow"/>
                <w:vertAlign w:val="superscript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Restricted ability to establish holdings o</w:t>
            </w:r>
            <w:r w:rsidR="00ED26CE">
              <w:rPr>
                <w:rFonts w:ascii="Arial Narrow" w:hAnsi="Arial Narrow"/>
              </w:rPr>
              <w:t>f less than a marketable parcel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8.10.3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Rec</w:t>
            </w:r>
            <w:r w:rsidR="00ED26CE">
              <w:rPr>
                <w:rFonts w:ascii="Arial Narrow" w:hAnsi="Arial Narrow"/>
              </w:rPr>
              <w:t>ognition of equitable interests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8.12.1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Registration date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8.13.1</w:t>
            </w:r>
            <w:r w:rsidR="003C34D6">
              <w:rPr>
                <w:rFonts w:ascii="Arial Narrow" w:hAnsi="Arial Narrow"/>
              </w:rPr>
              <w:t>,</w:t>
            </w:r>
            <w:r w:rsidRPr="000A1E89">
              <w:rPr>
                <w:rFonts w:ascii="Arial Narrow" w:hAnsi="Arial Narrow"/>
              </w:rPr>
              <w:t xml:space="preserve"> 5.4.4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Subregisters to remain open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9.8.4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>Certain docu</w:t>
            </w:r>
            <w:r w:rsidR="003C34D6">
              <w:rPr>
                <w:rFonts w:ascii="Arial Narrow" w:hAnsi="Arial Narrow"/>
              </w:rPr>
              <w:t>ments to be received by i</w:t>
            </w:r>
            <w:r w:rsidR="00ED26CE">
              <w:rPr>
                <w:rFonts w:ascii="Arial Narrow" w:hAnsi="Arial Narrow"/>
              </w:rPr>
              <w:t>ssuers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5.10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Non-issue of certificates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5.21.1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ED26CE" w:rsidP="003C34D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Nil paid rights record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724A1C" w:rsidRPr="000A1E89" w:rsidTr="00724A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ASXSR</w:t>
            </w:r>
            <w:r w:rsidRPr="000A1E89">
              <w:rPr>
                <w:rFonts w:ascii="Arial Narrow" w:hAnsi="Arial Narrow"/>
              </w:rPr>
              <w:t xml:space="preserve"> 14.17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724A1C">
            <w:pPr>
              <w:spacing w:before="60" w:after="60"/>
              <w:jc w:val="center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  <w:sz w:val="26"/>
              </w:rPr>
              <w:sym w:font="Wingdings" w:char="F0FC"/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3C34D6">
            <w:pPr>
              <w:spacing w:before="60" w:after="60"/>
              <w:rPr>
                <w:rFonts w:ascii="Arial Narrow" w:hAnsi="Arial Narrow"/>
              </w:rPr>
            </w:pPr>
            <w:r w:rsidRPr="000A1E89">
              <w:rPr>
                <w:rFonts w:ascii="Arial Narrow" w:hAnsi="Arial Narrow"/>
              </w:rPr>
              <w:t xml:space="preserve">Completion of takeover </w:t>
            </w:r>
            <w:r w:rsidR="00ED26CE">
              <w:rPr>
                <w:rFonts w:ascii="Arial Narrow" w:hAnsi="Arial Narrow"/>
              </w:rPr>
              <w:t>transfers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A1C" w:rsidRPr="000A1E89" w:rsidRDefault="00724A1C" w:rsidP="00245D7F">
            <w:pPr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</w:tbl>
    <w:p w:rsidR="00FD10C9" w:rsidRDefault="00FD10C9">
      <w:pPr>
        <w:rPr>
          <w:rFonts w:ascii="Arial Narrow" w:hAnsi="Arial Narrow"/>
          <w:sz w:val="16"/>
          <w:szCs w:val="16"/>
        </w:rPr>
      </w:pPr>
    </w:p>
    <w:p w:rsidR="00116D19" w:rsidRPr="00116D19" w:rsidRDefault="00116D19" w:rsidP="00116D19">
      <w:pPr>
        <w:keepNext/>
        <w:spacing w:after="60"/>
        <w:rPr>
          <w:rFonts w:ascii="Arial Narrow" w:hAnsi="Arial Narrow"/>
          <w:i/>
          <w:sz w:val="20"/>
        </w:rPr>
      </w:pPr>
      <w:r w:rsidRPr="00116D19">
        <w:rPr>
          <w:rFonts w:ascii="Arial Narrow" w:hAnsi="Arial Narrow"/>
          <w:i/>
          <w:sz w:val="20"/>
        </w:rPr>
        <w:lastRenderedPageBreak/>
        <w:t>Notes:</w:t>
      </w:r>
    </w:p>
    <w:p w:rsidR="00FD10C9" w:rsidRDefault="00172255" w:rsidP="00116D19">
      <w:pPr>
        <w:keepNext/>
        <w:spacing w:after="60"/>
        <w:ind w:left="284" w:hanging="284"/>
        <w:jc w:val="both"/>
        <w:rPr>
          <w:rFonts w:ascii="Arial Narrow" w:hAnsi="Arial Narrow"/>
          <w:i/>
          <w:sz w:val="20"/>
        </w:rPr>
      </w:pPr>
      <w:r w:rsidRPr="00172255">
        <w:rPr>
          <w:rFonts w:ascii="Arial Narrow" w:hAnsi="Arial Narrow"/>
          <w:sz w:val="20"/>
          <w:vertAlign w:val="superscript"/>
        </w:rPr>
        <w:t>1</w:t>
      </w:r>
      <w:r w:rsidR="00FD10C9" w:rsidRPr="000A1E89">
        <w:rPr>
          <w:rFonts w:ascii="Arial Narrow" w:hAnsi="Arial Narrow"/>
          <w:i/>
          <w:sz w:val="20"/>
        </w:rPr>
        <w:tab/>
        <w:t xml:space="preserve">If </w:t>
      </w:r>
      <w:r w:rsidR="00D957AD">
        <w:rPr>
          <w:rFonts w:ascii="Arial Narrow" w:hAnsi="Arial Narrow"/>
          <w:i/>
          <w:sz w:val="20"/>
        </w:rPr>
        <w:t xml:space="preserve">the specific </w:t>
      </w:r>
      <w:r w:rsidR="0095394A">
        <w:rPr>
          <w:rFonts w:ascii="Arial Narrow" w:hAnsi="Arial Narrow"/>
          <w:i/>
          <w:sz w:val="20"/>
        </w:rPr>
        <w:t>r</w:t>
      </w:r>
      <w:r w:rsidR="00D957AD">
        <w:rPr>
          <w:rFonts w:ascii="Arial Narrow" w:hAnsi="Arial Narrow"/>
          <w:i/>
          <w:sz w:val="20"/>
        </w:rPr>
        <w:t xml:space="preserve">ule </w:t>
      </w:r>
      <w:r w:rsidR="00FD10C9" w:rsidRPr="000A1E89">
        <w:rPr>
          <w:rFonts w:ascii="Arial Narrow" w:hAnsi="Arial Narrow"/>
          <w:i/>
          <w:sz w:val="20"/>
        </w:rPr>
        <w:t>is not covered by the constitution, please indicate that there is no specific reference</w:t>
      </w:r>
      <w:r w:rsidR="00D957AD">
        <w:rPr>
          <w:rFonts w:ascii="Arial Narrow" w:hAnsi="Arial Narrow"/>
          <w:i/>
          <w:sz w:val="20"/>
        </w:rPr>
        <w:t xml:space="preserve"> by inserting “N/A”</w:t>
      </w:r>
      <w:r w:rsidR="00FD10C9" w:rsidRPr="000A1E89">
        <w:rPr>
          <w:rFonts w:ascii="Arial Narrow" w:hAnsi="Arial Narrow"/>
          <w:i/>
          <w:sz w:val="20"/>
        </w:rPr>
        <w:t>.</w:t>
      </w:r>
    </w:p>
    <w:p w:rsidR="00172255" w:rsidRPr="000A1E89" w:rsidRDefault="00172255" w:rsidP="00116D19">
      <w:pPr>
        <w:keepNext/>
        <w:spacing w:after="60"/>
        <w:ind w:left="284" w:hanging="284"/>
        <w:jc w:val="both"/>
        <w:rPr>
          <w:rFonts w:ascii="Arial Narrow" w:hAnsi="Arial Narrow"/>
          <w:i/>
          <w:sz w:val="20"/>
        </w:rPr>
      </w:pPr>
      <w:r w:rsidRPr="00172255"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  <w:i/>
          <w:sz w:val="20"/>
        </w:rPr>
        <w:tab/>
        <w:t xml:space="preserve">These </w:t>
      </w:r>
      <w:r w:rsidR="00116D19">
        <w:rPr>
          <w:rFonts w:ascii="Arial Narrow" w:hAnsi="Arial Narrow"/>
          <w:i/>
          <w:sz w:val="20"/>
        </w:rPr>
        <w:t>rules</w:t>
      </w:r>
      <w:r>
        <w:rPr>
          <w:rFonts w:ascii="Arial Narrow" w:hAnsi="Arial Narrow"/>
          <w:i/>
          <w:sz w:val="20"/>
        </w:rPr>
        <w:t xml:space="preserve"> lay down certain general </w:t>
      </w:r>
      <w:r w:rsidR="00116D19">
        <w:rPr>
          <w:rFonts w:ascii="Arial Narrow" w:hAnsi="Arial Narrow"/>
          <w:i/>
          <w:sz w:val="20"/>
        </w:rPr>
        <w:t>requirements</w:t>
      </w:r>
      <w:r>
        <w:rPr>
          <w:rFonts w:ascii="Arial Narrow" w:hAnsi="Arial Narrow"/>
          <w:i/>
          <w:sz w:val="20"/>
        </w:rPr>
        <w:t xml:space="preserve"> but provide that an entity’s constitution may make specific provision to the contrary. These items should only be marked “N/A” if the constitution does not make any such provision to the contrary.</w:t>
      </w:r>
    </w:p>
    <w:p w:rsidR="00172255" w:rsidRDefault="00172255" w:rsidP="00116D19">
      <w:pPr>
        <w:keepNext/>
        <w:spacing w:after="60"/>
        <w:ind w:left="284" w:hanging="284"/>
        <w:jc w:val="both"/>
        <w:rPr>
          <w:rFonts w:ascii="Arial Narrow" w:hAnsi="Arial Narrow"/>
          <w:i/>
          <w:sz w:val="20"/>
        </w:rPr>
      </w:pPr>
      <w:r w:rsidRPr="00172255">
        <w:rPr>
          <w:rFonts w:ascii="Arial Narrow" w:hAnsi="Arial Narrow"/>
          <w:vertAlign w:val="superscript"/>
        </w:rPr>
        <w:t>3</w:t>
      </w:r>
      <w:r>
        <w:rPr>
          <w:rFonts w:ascii="Arial Narrow" w:hAnsi="Arial Narrow"/>
          <w:i/>
          <w:sz w:val="20"/>
        </w:rPr>
        <w:tab/>
        <w:t xml:space="preserve">These </w:t>
      </w:r>
      <w:r w:rsidR="00116D19">
        <w:rPr>
          <w:rFonts w:ascii="Arial Narrow" w:hAnsi="Arial Narrow"/>
          <w:i/>
          <w:sz w:val="20"/>
        </w:rPr>
        <w:t>rules</w:t>
      </w:r>
      <w:r>
        <w:rPr>
          <w:rFonts w:ascii="Arial Narrow" w:hAnsi="Arial Narrow"/>
          <w:i/>
          <w:sz w:val="20"/>
        </w:rPr>
        <w:t xml:space="preserve"> prohibit certain provisions being included in an entity’s constitution. These items should only be marked “N/A” if the constitution does not include any such provision.</w:t>
      </w:r>
    </w:p>
    <w:p w:rsidR="00172255" w:rsidRDefault="00172255" w:rsidP="00116D19">
      <w:pPr>
        <w:keepNext/>
        <w:spacing w:after="60"/>
        <w:ind w:left="284" w:hanging="284"/>
        <w:jc w:val="both"/>
        <w:rPr>
          <w:rFonts w:ascii="Arial Narrow" w:hAnsi="Arial Narrow"/>
          <w:i/>
          <w:sz w:val="20"/>
        </w:rPr>
      </w:pPr>
      <w:r w:rsidRPr="00172255">
        <w:rPr>
          <w:rFonts w:ascii="Arial Narrow" w:hAnsi="Arial Narrow"/>
          <w:vertAlign w:val="superscript"/>
        </w:rPr>
        <w:t>4</w:t>
      </w:r>
      <w:r>
        <w:rPr>
          <w:rFonts w:ascii="Arial Narrow" w:hAnsi="Arial Narrow"/>
          <w:vertAlign w:val="superscript"/>
        </w:rPr>
        <w:tab/>
      </w:r>
      <w:r>
        <w:rPr>
          <w:rFonts w:ascii="Arial Narrow" w:hAnsi="Arial Narrow"/>
          <w:i/>
          <w:sz w:val="20"/>
        </w:rPr>
        <w:t xml:space="preserve">This </w:t>
      </w:r>
      <w:r w:rsidR="00116D19">
        <w:rPr>
          <w:rFonts w:ascii="Arial Narrow" w:hAnsi="Arial Narrow"/>
          <w:i/>
          <w:sz w:val="20"/>
        </w:rPr>
        <w:t>rule</w:t>
      </w:r>
      <w:r>
        <w:rPr>
          <w:rFonts w:ascii="Arial Narrow" w:hAnsi="Arial Narrow"/>
          <w:i/>
          <w:sz w:val="20"/>
        </w:rPr>
        <w:t xml:space="preserve"> require</w:t>
      </w:r>
      <w:r w:rsidR="00116D19">
        <w:rPr>
          <w:rFonts w:ascii="Arial Narrow" w:hAnsi="Arial Narrow"/>
          <w:i/>
          <w:sz w:val="20"/>
        </w:rPr>
        <w:t>s</w:t>
      </w:r>
      <w:r>
        <w:rPr>
          <w:rFonts w:ascii="Arial Narrow" w:hAnsi="Arial Narrow"/>
          <w:i/>
          <w:sz w:val="20"/>
        </w:rPr>
        <w:t xml:space="preserve"> specific provisions to be included in an entity’s constitution. Th</w:t>
      </w:r>
      <w:r>
        <w:rPr>
          <w:rFonts w:ascii="Arial Narrow" w:hAnsi="Arial Narrow"/>
          <w:i/>
          <w:sz w:val="20"/>
        </w:rPr>
        <w:t>i</w:t>
      </w:r>
      <w:r>
        <w:rPr>
          <w:rFonts w:ascii="Arial Narrow" w:hAnsi="Arial Narrow"/>
          <w:i/>
          <w:sz w:val="20"/>
        </w:rPr>
        <w:t>s item must not be marked “N/A”.</w:t>
      </w:r>
    </w:p>
    <w:p w:rsidR="0075400C" w:rsidRDefault="00116D19" w:rsidP="00116D19">
      <w:pPr>
        <w:spacing w:after="180"/>
        <w:ind w:left="284" w:hanging="284"/>
        <w:jc w:val="both"/>
        <w:rPr>
          <w:rFonts w:ascii="Arial Narrow" w:hAnsi="Arial Narrow"/>
          <w:i/>
          <w:sz w:val="20"/>
        </w:rPr>
      </w:pPr>
      <w:r w:rsidRPr="00172255">
        <w:rPr>
          <w:rFonts w:ascii="Arial Narrow" w:hAnsi="Arial Narrow"/>
          <w:vertAlign w:val="superscript"/>
        </w:rPr>
        <w:t>5</w:t>
      </w:r>
      <w:r>
        <w:rPr>
          <w:rFonts w:ascii="Arial Narrow" w:hAnsi="Arial Narrow"/>
          <w:vertAlign w:val="superscript"/>
        </w:rPr>
        <w:tab/>
      </w:r>
      <w:r>
        <w:rPr>
          <w:rFonts w:ascii="Arial Narrow" w:hAnsi="Arial Narrow"/>
          <w:i/>
          <w:sz w:val="20"/>
        </w:rPr>
        <w:t>T</w:t>
      </w:r>
      <w:r w:rsidR="0075400C">
        <w:rPr>
          <w:rFonts w:ascii="Arial Narrow" w:hAnsi="Arial Narrow"/>
          <w:i/>
          <w:sz w:val="20"/>
        </w:rPr>
        <w:t>he</w:t>
      </w:r>
      <w:r>
        <w:rPr>
          <w:rFonts w:ascii="Arial Narrow" w:hAnsi="Arial Narrow"/>
          <w:i/>
          <w:sz w:val="20"/>
        </w:rPr>
        <w:t>se</w:t>
      </w:r>
      <w:r w:rsidR="0075400C">
        <w:rPr>
          <w:rFonts w:ascii="Arial Narrow" w:hAnsi="Arial Narrow"/>
          <w:i/>
          <w:sz w:val="20"/>
        </w:rPr>
        <w:t xml:space="preserve"> rules require specific provisions to be included in an entity’s constitution</w:t>
      </w:r>
      <w:r>
        <w:rPr>
          <w:rFonts w:ascii="Arial Narrow" w:hAnsi="Arial Narrow"/>
          <w:i/>
          <w:sz w:val="20"/>
        </w:rPr>
        <w:t xml:space="preserve"> for so long as it has restricted securities on issue</w:t>
      </w:r>
      <w:r w:rsidR="0075400C">
        <w:rPr>
          <w:rFonts w:ascii="Arial Narrow" w:hAnsi="Arial Narrow"/>
          <w:i/>
          <w:sz w:val="20"/>
        </w:rPr>
        <w:t xml:space="preserve">. These items must </w:t>
      </w:r>
      <w:r>
        <w:rPr>
          <w:rFonts w:ascii="Arial Narrow" w:hAnsi="Arial Narrow"/>
          <w:i/>
          <w:sz w:val="20"/>
        </w:rPr>
        <w:t>only</w:t>
      </w:r>
      <w:r w:rsidR="0075400C">
        <w:rPr>
          <w:rFonts w:ascii="Arial Narrow" w:hAnsi="Arial Narrow"/>
          <w:i/>
          <w:sz w:val="20"/>
        </w:rPr>
        <w:t xml:space="preserve"> be marked “N/A”</w:t>
      </w:r>
      <w:r>
        <w:rPr>
          <w:rFonts w:ascii="Arial Narrow" w:hAnsi="Arial Narrow"/>
          <w:i/>
          <w:sz w:val="20"/>
        </w:rPr>
        <w:t xml:space="preserve"> if the entity does not have, and does not intend to have, restricted securities on issue</w:t>
      </w:r>
      <w:r w:rsidR="0075400C">
        <w:rPr>
          <w:rFonts w:ascii="Arial Narrow" w:hAnsi="Arial Narrow"/>
          <w:i/>
          <w:sz w:val="20"/>
        </w:rPr>
        <w:t>.</w:t>
      </w:r>
    </w:p>
    <w:p w:rsidR="00116D19" w:rsidRPr="000A1E89" w:rsidRDefault="00116D19" w:rsidP="00116D19">
      <w:pPr>
        <w:spacing w:after="180"/>
        <w:jc w:val="both"/>
        <w:rPr>
          <w:rFonts w:ascii="Arial Narrow" w:hAnsi="Arial Narrow"/>
          <w:i/>
          <w:sz w:val="20"/>
        </w:rPr>
      </w:pPr>
      <w:r w:rsidRPr="000A1E89">
        <w:rPr>
          <w:rFonts w:ascii="Arial Narrow" w:hAnsi="Arial Narrow"/>
          <w:i/>
          <w:sz w:val="20"/>
        </w:rPr>
        <w:t xml:space="preserve">This document is intended to provide only a general guide to listing </w:t>
      </w:r>
      <w:r>
        <w:rPr>
          <w:rFonts w:ascii="Arial Narrow" w:hAnsi="Arial Narrow"/>
          <w:i/>
          <w:sz w:val="20"/>
        </w:rPr>
        <w:t xml:space="preserve">rule </w:t>
      </w:r>
      <w:r w:rsidRPr="000A1E89">
        <w:rPr>
          <w:rFonts w:ascii="Arial Narrow" w:hAnsi="Arial Narrow"/>
          <w:i/>
          <w:sz w:val="20"/>
        </w:rPr>
        <w:t>requirements.  It may not cover every aspect of the Listing Rules that is relevant to a particular entity.  Further, it may not be updated following every amendment made to the Listing Rules.</w:t>
      </w:r>
    </w:p>
    <w:p w:rsidR="00116D19" w:rsidRPr="000A1E89" w:rsidRDefault="00116D19" w:rsidP="00116D19">
      <w:pPr>
        <w:spacing w:after="180"/>
        <w:jc w:val="both"/>
        <w:rPr>
          <w:rFonts w:ascii="Arial Narrow" w:hAnsi="Arial Narrow"/>
          <w:i/>
          <w:sz w:val="20"/>
        </w:rPr>
      </w:pPr>
      <w:r w:rsidRPr="000A1E89">
        <w:rPr>
          <w:rFonts w:ascii="Arial Narrow" w:hAnsi="Arial Narrow"/>
          <w:i/>
          <w:sz w:val="20"/>
        </w:rPr>
        <w:t xml:space="preserve">No responsibility for the results of any actions taken on the basis of this document is accepted by ASX, its subsidiaries, or </w:t>
      </w:r>
      <w:r>
        <w:rPr>
          <w:rFonts w:ascii="Arial Narrow" w:hAnsi="Arial Narrow"/>
          <w:i/>
          <w:sz w:val="20"/>
        </w:rPr>
        <w:t xml:space="preserve">employees of ASX or </w:t>
      </w:r>
      <w:r w:rsidRPr="000A1E89">
        <w:rPr>
          <w:rFonts w:ascii="Arial Narrow" w:hAnsi="Arial Narrow"/>
          <w:i/>
          <w:sz w:val="20"/>
        </w:rPr>
        <w:t>its subsidiaries (whether through negligence or otherwise).</w:t>
      </w:r>
    </w:p>
    <w:p w:rsidR="00116D19" w:rsidRPr="000A1E89" w:rsidRDefault="00116D19" w:rsidP="00116D19">
      <w:pPr>
        <w:spacing w:after="180"/>
        <w:rPr>
          <w:rFonts w:ascii="Arial Narrow" w:hAnsi="Arial Narrow"/>
        </w:rPr>
      </w:pPr>
      <w:r w:rsidRPr="000A1E89">
        <w:rPr>
          <w:rFonts w:ascii="Arial Narrow" w:hAnsi="Arial Narrow"/>
          <w:i/>
          <w:sz w:val="20"/>
        </w:rPr>
        <w:t>Entities should seek independent legal advice in respect of their obligations under the Listing Rules.</w:t>
      </w:r>
    </w:p>
    <w:p w:rsidR="00FD10C9" w:rsidRPr="00116D19" w:rsidRDefault="00FD10C9" w:rsidP="000A1E89">
      <w:pPr>
        <w:spacing w:after="180"/>
        <w:jc w:val="both"/>
        <w:rPr>
          <w:rFonts w:ascii="Arial Narrow" w:hAnsi="Arial Narrow"/>
          <w:i/>
          <w:sz w:val="20"/>
        </w:rPr>
      </w:pPr>
      <w:r w:rsidRPr="00116D19">
        <w:rPr>
          <w:rFonts w:ascii="Arial Narrow" w:hAnsi="Arial Narrow"/>
          <w:i/>
          <w:sz w:val="20"/>
        </w:rPr>
        <w:t>Fees are payable</w:t>
      </w:r>
      <w:r w:rsidR="00D957AD" w:rsidRPr="00116D19">
        <w:rPr>
          <w:rFonts w:ascii="Arial Narrow" w:hAnsi="Arial Narrow"/>
          <w:i/>
          <w:sz w:val="20"/>
        </w:rPr>
        <w:t xml:space="preserve"> for the review of a listing application or of amendments to a listed entity’s constitution </w:t>
      </w:r>
      <w:r w:rsidRPr="00116D19">
        <w:rPr>
          <w:rFonts w:ascii="Arial Narrow" w:hAnsi="Arial Narrow"/>
          <w:i/>
          <w:sz w:val="20"/>
        </w:rPr>
        <w:t xml:space="preserve">in accordance with listing </w:t>
      </w:r>
      <w:r w:rsidR="00724A1C" w:rsidRPr="00116D19">
        <w:rPr>
          <w:rFonts w:ascii="Arial Narrow" w:hAnsi="Arial Narrow"/>
          <w:i/>
          <w:sz w:val="20"/>
        </w:rPr>
        <w:t>rule </w:t>
      </w:r>
      <w:r w:rsidRPr="00116D19">
        <w:rPr>
          <w:rFonts w:ascii="Arial Narrow" w:hAnsi="Arial Narrow"/>
          <w:i/>
          <w:sz w:val="20"/>
        </w:rPr>
        <w:t xml:space="preserve">16.7 and Guidance </w:t>
      </w:r>
      <w:r w:rsidR="00D957AD" w:rsidRPr="00116D19">
        <w:rPr>
          <w:rFonts w:ascii="Arial Narrow" w:hAnsi="Arial Narrow"/>
          <w:i/>
          <w:sz w:val="20"/>
        </w:rPr>
        <w:t xml:space="preserve">Note 15 ASX Listing </w:t>
      </w:r>
      <w:r w:rsidRPr="00116D19">
        <w:rPr>
          <w:rFonts w:ascii="Arial Narrow" w:hAnsi="Arial Narrow"/>
          <w:i/>
          <w:sz w:val="20"/>
        </w:rPr>
        <w:t>Fees.</w:t>
      </w:r>
    </w:p>
    <w:p w:rsidR="00FD10C9" w:rsidRPr="00116D19" w:rsidRDefault="00FD10C9" w:rsidP="000A1E89">
      <w:pPr>
        <w:spacing w:after="180"/>
        <w:jc w:val="both"/>
        <w:rPr>
          <w:rFonts w:ascii="Arial Narrow" w:hAnsi="Arial Narrow"/>
          <w:i/>
          <w:sz w:val="20"/>
        </w:rPr>
      </w:pPr>
      <w:r w:rsidRPr="00116D19">
        <w:rPr>
          <w:rFonts w:ascii="Arial Narrow" w:hAnsi="Arial Narrow"/>
          <w:i/>
          <w:sz w:val="20"/>
        </w:rPr>
        <w:t xml:space="preserve">For further information contact the </w:t>
      </w:r>
      <w:r w:rsidR="000A1E89" w:rsidRPr="00116D19">
        <w:rPr>
          <w:rFonts w:ascii="Arial Narrow" w:hAnsi="Arial Narrow"/>
          <w:i/>
          <w:sz w:val="20"/>
        </w:rPr>
        <w:t>ASX Listings</w:t>
      </w:r>
      <w:r w:rsidRPr="00116D19">
        <w:rPr>
          <w:rFonts w:ascii="Arial Narrow" w:hAnsi="Arial Narrow"/>
          <w:i/>
          <w:sz w:val="20"/>
        </w:rPr>
        <w:t xml:space="preserve"> Department in:</w:t>
      </w: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1964"/>
        <w:gridCol w:w="2249"/>
      </w:tblGrid>
      <w:tr w:rsidR="000A1E89" w:rsidRPr="00116D19" w:rsidTr="00116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4" w:type="dxa"/>
          </w:tcPr>
          <w:p w:rsidR="000A1E89" w:rsidRPr="00116D19" w:rsidRDefault="000A1E89" w:rsidP="00112C4C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116D19">
              <w:rPr>
                <w:rFonts w:ascii="Arial Narrow" w:hAnsi="Arial Narrow"/>
                <w:i/>
                <w:sz w:val="20"/>
              </w:rPr>
              <w:t>Sydney:</w:t>
            </w:r>
          </w:p>
        </w:tc>
        <w:tc>
          <w:tcPr>
            <w:tcW w:w="2249" w:type="dxa"/>
          </w:tcPr>
          <w:p w:rsidR="000A1E89" w:rsidRPr="00116D19" w:rsidRDefault="000A1E89" w:rsidP="00112C4C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116D19">
              <w:rPr>
                <w:rFonts w:ascii="Arial Narrow" w:hAnsi="Arial Narrow"/>
                <w:i/>
                <w:sz w:val="20"/>
              </w:rPr>
              <w:t>(02) 9227-0000</w:t>
            </w:r>
          </w:p>
        </w:tc>
      </w:tr>
      <w:tr w:rsidR="000A1E89" w:rsidRPr="00116D19" w:rsidTr="00116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4" w:type="dxa"/>
          </w:tcPr>
          <w:p w:rsidR="000A1E89" w:rsidRPr="00116D19" w:rsidRDefault="000A1E89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116D19">
              <w:rPr>
                <w:rFonts w:ascii="Arial Narrow" w:hAnsi="Arial Narrow"/>
                <w:i/>
                <w:sz w:val="20"/>
              </w:rPr>
              <w:t>Melbourne:</w:t>
            </w:r>
          </w:p>
        </w:tc>
        <w:tc>
          <w:tcPr>
            <w:tcW w:w="2249" w:type="dxa"/>
          </w:tcPr>
          <w:p w:rsidR="000A1E89" w:rsidRPr="00116D19" w:rsidRDefault="000A1E89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116D19">
              <w:rPr>
                <w:rFonts w:ascii="Arial Narrow" w:hAnsi="Arial Narrow"/>
                <w:i/>
                <w:sz w:val="20"/>
              </w:rPr>
              <w:t>(03) 9614 0303</w:t>
            </w:r>
          </w:p>
        </w:tc>
      </w:tr>
      <w:tr w:rsidR="000A1E89" w:rsidRPr="00116D19" w:rsidTr="00116D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4" w:type="dxa"/>
          </w:tcPr>
          <w:p w:rsidR="000A1E89" w:rsidRPr="00116D19" w:rsidRDefault="000A1E89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116D19">
              <w:rPr>
                <w:rFonts w:ascii="Arial Narrow" w:hAnsi="Arial Narrow"/>
                <w:i/>
                <w:sz w:val="20"/>
              </w:rPr>
              <w:t>Perth:</w:t>
            </w:r>
          </w:p>
        </w:tc>
        <w:tc>
          <w:tcPr>
            <w:tcW w:w="2249" w:type="dxa"/>
          </w:tcPr>
          <w:p w:rsidR="000A1E89" w:rsidRPr="00116D19" w:rsidRDefault="000A1E89">
            <w:pPr>
              <w:jc w:val="both"/>
              <w:rPr>
                <w:rFonts w:ascii="Arial Narrow" w:hAnsi="Arial Narrow"/>
                <w:i/>
                <w:sz w:val="20"/>
              </w:rPr>
            </w:pPr>
            <w:r w:rsidRPr="00116D19">
              <w:rPr>
                <w:rFonts w:ascii="Arial Narrow" w:hAnsi="Arial Narrow"/>
                <w:i/>
                <w:sz w:val="20"/>
              </w:rPr>
              <w:t>(08) 9224-0000</w:t>
            </w:r>
          </w:p>
        </w:tc>
      </w:tr>
    </w:tbl>
    <w:p w:rsidR="00FD10C9" w:rsidRPr="00245D7F" w:rsidRDefault="00FD10C9" w:rsidP="00245D7F">
      <w:pPr>
        <w:spacing w:before="180" w:after="180"/>
        <w:jc w:val="both"/>
        <w:rPr>
          <w:rFonts w:ascii="Arial Narrow" w:hAnsi="Arial Narrow"/>
          <w:i/>
          <w:sz w:val="18"/>
          <w:szCs w:val="18"/>
        </w:rPr>
      </w:pPr>
      <w:r w:rsidRPr="00245D7F">
        <w:rPr>
          <w:rFonts w:ascii="Arial Narrow" w:hAnsi="Arial Narrow"/>
          <w:i/>
          <w:sz w:val="18"/>
          <w:szCs w:val="18"/>
        </w:rPr>
        <w:t xml:space="preserve">Issued: </w:t>
      </w:r>
      <w:r w:rsidR="00245D7F" w:rsidRPr="00245D7F">
        <w:rPr>
          <w:rFonts w:ascii="Arial Narrow" w:hAnsi="Arial Narrow"/>
          <w:i/>
          <w:sz w:val="18"/>
          <w:szCs w:val="18"/>
        </w:rPr>
        <w:t>1 </w:t>
      </w:r>
      <w:r w:rsidR="00172255">
        <w:rPr>
          <w:rFonts w:ascii="Arial Narrow" w:hAnsi="Arial Narrow"/>
          <w:i/>
          <w:sz w:val="18"/>
          <w:szCs w:val="18"/>
        </w:rPr>
        <w:t>December</w:t>
      </w:r>
      <w:r w:rsidR="00245D7F" w:rsidRPr="00245D7F">
        <w:rPr>
          <w:rFonts w:ascii="Arial Narrow" w:hAnsi="Arial Narrow"/>
          <w:i/>
          <w:sz w:val="18"/>
          <w:szCs w:val="18"/>
        </w:rPr>
        <w:t xml:space="preserve"> 201</w:t>
      </w:r>
      <w:r w:rsidR="00172255">
        <w:rPr>
          <w:rFonts w:ascii="Arial Narrow" w:hAnsi="Arial Narrow"/>
          <w:i/>
          <w:sz w:val="18"/>
          <w:szCs w:val="18"/>
        </w:rPr>
        <w:t>9</w:t>
      </w:r>
    </w:p>
    <w:sectPr w:rsidR="00FD10C9" w:rsidRPr="00245D7F" w:rsidSect="00724A1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04E" w:rsidRDefault="0016604E">
      <w:r>
        <w:separator/>
      </w:r>
    </w:p>
  </w:endnote>
  <w:endnote w:type="continuationSeparator" w:id="0">
    <w:p w:rsidR="0016604E" w:rsidRDefault="0016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ss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7F" w:rsidRDefault="00245D7F" w:rsidP="00245D7F">
    <w:pPr>
      <w:pStyle w:val="Footer"/>
      <w:tabs>
        <w:tab w:val="clear" w:pos="4320"/>
        <w:tab w:val="clear" w:pos="8640"/>
        <w:tab w:val="right" w:pos="9072"/>
      </w:tabs>
    </w:pPr>
    <w:r>
      <w:rPr>
        <w:rFonts w:ascii="Zurich Cn BT" w:hAnsi="Zurich Cn BT"/>
        <w:sz w:val="18"/>
      </w:rPr>
      <w:t xml:space="preserve">ASX Constitution Checklist </w:t>
    </w:r>
    <w:r w:rsidR="00310D04">
      <w:rPr>
        <w:rFonts w:ascii="Zurich Cn BT" w:hAnsi="Zurich Cn BT"/>
        <w:sz w:val="18"/>
      </w:rPr>
      <w:t>(effective 1 December 2019)</w:t>
    </w:r>
    <w:r>
      <w:rPr>
        <w:rFonts w:ascii="Zurich Cn BT" w:hAnsi="Zurich Cn BT"/>
        <w:sz w:val="18"/>
      </w:rPr>
      <w:tab/>
      <w:t xml:space="preserve">Page </w:t>
    </w:r>
    <w:r>
      <w:rPr>
        <w:rFonts w:ascii="Zurich Cn BT" w:hAnsi="Zurich Cn BT"/>
        <w:sz w:val="18"/>
      </w:rPr>
      <w:fldChar w:fldCharType="begin"/>
    </w:r>
    <w:r>
      <w:rPr>
        <w:rFonts w:ascii="Zurich Cn BT" w:hAnsi="Zurich Cn BT"/>
        <w:sz w:val="18"/>
      </w:rPr>
      <w:instrText xml:space="preserve"> PAGE  \* MERGEFORMAT </w:instrText>
    </w:r>
    <w:r>
      <w:rPr>
        <w:rFonts w:ascii="Zurich Cn BT" w:hAnsi="Zurich Cn BT"/>
        <w:sz w:val="18"/>
      </w:rPr>
      <w:fldChar w:fldCharType="separate"/>
    </w:r>
    <w:r w:rsidR="00116D19">
      <w:rPr>
        <w:rFonts w:ascii="Zurich Cn BT" w:hAnsi="Zurich Cn BT"/>
        <w:noProof/>
        <w:sz w:val="18"/>
      </w:rPr>
      <w:t>5</w:t>
    </w:r>
    <w:r>
      <w:rPr>
        <w:rFonts w:ascii="Zurich Cn BT" w:hAnsi="Zurich Cn BT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C9" w:rsidRDefault="00FD10C9" w:rsidP="00245D7F">
    <w:pPr>
      <w:pStyle w:val="Footer"/>
      <w:tabs>
        <w:tab w:val="clear" w:pos="4320"/>
        <w:tab w:val="clear" w:pos="8640"/>
        <w:tab w:val="right" w:pos="9072"/>
      </w:tabs>
    </w:pPr>
    <w:r>
      <w:rPr>
        <w:rFonts w:ascii="Zurich Cn BT" w:hAnsi="Zurich Cn BT"/>
        <w:sz w:val="18"/>
      </w:rPr>
      <w:t>A</w:t>
    </w:r>
    <w:r w:rsidR="00245D7F">
      <w:rPr>
        <w:rFonts w:ascii="Zurich Cn BT" w:hAnsi="Zurich Cn BT"/>
        <w:sz w:val="18"/>
      </w:rPr>
      <w:t>SX</w:t>
    </w:r>
    <w:r>
      <w:rPr>
        <w:rFonts w:ascii="Zurich Cn BT" w:hAnsi="Zurich Cn BT"/>
        <w:sz w:val="18"/>
      </w:rPr>
      <w:t xml:space="preserve"> Constitution Checklist </w:t>
    </w:r>
    <w:r>
      <w:rPr>
        <w:rFonts w:ascii="Zurich Cn BT" w:hAnsi="Zurich Cn BT"/>
        <w:sz w:val="18"/>
      </w:rPr>
      <w:tab/>
      <w:t xml:space="preserve">Page </w:t>
    </w:r>
    <w:r>
      <w:rPr>
        <w:rFonts w:ascii="Zurich Cn BT" w:hAnsi="Zurich Cn BT"/>
        <w:sz w:val="18"/>
      </w:rPr>
      <w:fldChar w:fldCharType="begin"/>
    </w:r>
    <w:r>
      <w:rPr>
        <w:rFonts w:ascii="Zurich Cn BT" w:hAnsi="Zurich Cn BT"/>
        <w:sz w:val="18"/>
      </w:rPr>
      <w:instrText xml:space="preserve"> PAGE  \* MERGEFORMAT </w:instrText>
    </w:r>
    <w:r>
      <w:rPr>
        <w:rFonts w:ascii="Zurich Cn BT" w:hAnsi="Zurich Cn BT"/>
        <w:sz w:val="18"/>
      </w:rPr>
      <w:fldChar w:fldCharType="separate"/>
    </w:r>
    <w:r w:rsidR="00245D7F">
      <w:rPr>
        <w:rFonts w:ascii="Zurich Cn BT" w:hAnsi="Zurich Cn BT"/>
        <w:noProof/>
        <w:sz w:val="18"/>
      </w:rPr>
      <w:t>1</w:t>
    </w:r>
    <w:r>
      <w:rPr>
        <w:rFonts w:ascii="Zurich Cn BT" w:hAnsi="Zurich Cn BT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04E" w:rsidRDefault="0016604E">
      <w:r>
        <w:separator/>
      </w:r>
    </w:p>
  </w:footnote>
  <w:footnote w:type="continuationSeparator" w:id="0">
    <w:p w:rsidR="0016604E" w:rsidRDefault="00166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C9" w:rsidRDefault="00FD10C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10C9" w:rsidRDefault="00FD10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0C9" w:rsidRDefault="00FD10C9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7F" w:rsidRPr="00245D7F" w:rsidRDefault="00245D7F" w:rsidP="00245D7F">
    <w:pPr>
      <w:pStyle w:val="Header"/>
      <w:tabs>
        <w:tab w:val="clear" w:pos="4320"/>
        <w:tab w:val="clear" w:pos="8640"/>
      </w:tabs>
      <w:jc w:val="center"/>
      <w:rPr>
        <w:b/>
        <w:sz w:val="28"/>
        <w:szCs w:val="28"/>
      </w:rPr>
    </w:pPr>
    <w:r w:rsidRPr="00245D7F">
      <w:rPr>
        <w:rFonts w:ascii="Arial Narrow" w:hAnsi="Arial Narrow"/>
        <w:b/>
        <w:sz w:val="28"/>
        <w:szCs w:val="28"/>
      </w:rPr>
      <w:t>ASX CHECKLIST FOR CONSTITUTIONS OF LISTED ENTITIES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4A76E4"/>
    <w:lvl w:ilvl="0">
      <w:numFmt w:val="decimal"/>
      <w:lvlText w:val="*"/>
      <w:lvlJc w:val="left"/>
    </w:lvl>
  </w:abstractNum>
  <w:abstractNum w:abstractNumId="1" w15:restartNumberingAfterBreak="0">
    <w:nsid w:val="14F70B33"/>
    <w:multiLevelType w:val="hybridMultilevel"/>
    <w:tmpl w:val="97669F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523D2"/>
    <w:multiLevelType w:val="hybridMultilevel"/>
    <w:tmpl w:val="F148DF42"/>
    <w:lvl w:ilvl="0" w:tplc="83806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0F"/>
    <w:rsid w:val="000A1E89"/>
    <w:rsid w:val="00112C4C"/>
    <w:rsid w:val="00116D19"/>
    <w:rsid w:val="0016604E"/>
    <w:rsid w:val="00172255"/>
    <w:rsid w:val="001D446A"/>
    <w:rsid w:val="00233F25"/>
    <w:rsid w:val="00245D7F"/>
    <w:rsid w:val="00310D04"/>
    <w:rsid w:val="003C2498"/>
    <w:rsid w:val="003C34D6"/>
    <w:rsid w:val="00493691"/>
    <w:rsid w:val="004B4C4A"/>
    <w:rsid w:val="00724A1C"/>
    <w:rsid w:val="0075400C"/>
    <w:rsid w:val="00761CD5"/>
    <w:rsid w:val="007B7A37"/>
    <w:rsid w:val="00802F0F"/>
    <w:rsid w:val="00825459"/>
    <w:rsid w:val="008D03D9"/>
    <w:rsid w:val="0095394A"/>
    <w:rsid w:val="00A021F2"/>
    <w:rsid w:val="00A63544"/>
    <w:rsid w:val="00B13CED"/>
    <w:rsid w:val="00B46F04"/>
    <w:rsid w:val="00D957AD"/>
    <w:rsid w:val="00DA4852"/>
    <w:rsid w:val="00DD0B69"/>
    <w:rsid w:val="00EA5B55"/>
    <w:rsid w:val="00ED26CE"/>
    <w:rsid w:val="00ED336F"/>
    <w:rsid w:val="00FD0333"/>
    <w:rsid w:val="00F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E4C924"/>
  <w15:chartTrackingRefBased/>
  <w15:docId w15:val="{DDCAA9B8-708F-4872-B98D-2EB49A62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lassGarmnd BT" w:hAnsi="ClassGarmnd BT"/>
      <w:sz w:val="22"/>
      <w:lang w:eastAsia="en-US"/>
    </w:rPr>
  </w:style>
  <w:style w:type="paragraph" w:styleId="Heading1">
    <w:name w:val="heading 1"/>
    <w:basedOn w:val="Normal"/>
    <w:next w:val="Normal"/>
    <w:qFormat/>
    <w:pPr>
      <w:overflowPunct/>
      <w:autoSpaceDE/>
      <w:autoSpaceDN/>
      <w:adjustRightInd/>
      <w:spacing w:before="240"/>
      <w:jc w:val="both"/>
      <w:textAlignment w:val="auto"/>
      <w:outlineLvl w:val="0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overflowPunct/>
      <w:autoSpaceDE/>
      <w:autoSpaceDN/>
      <w:adjustRightInd/>
      <w:jc w:val="both"/>
      <w:textAlignment w:val="auto"/>
    </w:pPr>
    <w:rPr>
      <w:sz w:val="16"/>
    </w:rPr>
  </w:style>
  <w:style w:type="paragraph" w:customStyle="1" w:styleId="Indent05">
    <w:name w:val="Indent_0.5"/>
    <w:basedOn w:val="Normal"/>
    <w:pPr>
      <w:tabs>
        <w:tab w:val="left" w:pos="720"/>
      </w:tabs>
      <w:overflowPunct/>
      <w:autoSpaceDE/>
      <w:autoSpaceDN/>
      <w:adjustRightInd/>
      <w:ind w:left="720" w:hanging="720"/>
      <w:jc w:val="both"/>
      <w:textAlignment w:val="auto"/>
    </w:pPr>
    <w:rPr>
      <w:sz w:val="24"/>
    </w:rPr>
  </w:style>
  <w:style w:type="paragraph" w:customStyle="1" w:styleId="Indent1">
    <w:name w:val="Indent_1"/>
    <w:basedOn w:val="Normal"/>
    <w:pPr>
      <w:tabs>
        <w:tab w:val="left" w:pos="720"/>
        <w:tab w:val="left" w:pos="1440"/>
      </w:tabs>
      <w:overflowPunct/>
      <w:autoSpaceDE/>
      <w:autoSpaceDN/>
      <w:adjustRightInd/>
      <w:ind w:left="1440" w:hanging="1440"/>
      <w:jc w:val="both"/>
      <w:textAlignment w:val="auto"/>
    </w:pPr>
    <w:rPr>
      <w:sz w:val="24"/>
    </w:rPr>
  </w:style>
  <w:style w:type="paragraph" w:customStyle="1" w:styleId="Indent15">
    <w:name w:val="Indent_1.5"/>
    <w:basedOn w:val="Indent1"/>
    <w:pPr>
      <w:tabs>
        <w:tab w:val="clear" w:pos="720"/>
        <w:tab w:val="left" w:pos="2160"/>
      </w:tabs>
      <w:ind w:left="2160" w:hanging="216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i/>
      <w:sz w:val="28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802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F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1454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Constitutions of ASX Listed Entities - Australian Securities Exchange - ASX</vt:lpstr>
    </vt:vector>
  </TitlesOfParts>
  <Company>Australian Stock Exchange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Constitutions of ASX Listed Entities - Australian Securities Exchange - ASX</dc:title>
  <dc:subject/>
  <dc:creator>ASX</dc:creator>
  <cp:keywords/>
  <cp:lastModifiedBy>Kevin Lewis</cp:lastModifiedBy>
  <cp:revision>2</cp:revision>
  <cp:lastPrinted>2004-05-03T23:18:00Z</cp:lastPrinted>
  <dcterms:created xsi:type="dcterms:W3CDTF">2019-11-26T04:18:00Z</dcterms:created>
  <dcterms:modified xsi:type="dcterms:W3CDTF">2019-11-26T04:18:00Z</dcterms:modified>
</cp:coreProperties>
</file>