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B797" w14:textId="285780ED" w:rsidR="00764108" w:rsidRPr="001735C7" w:rsidRDefault="00764108" w:rsidP="007C4023">
      <w:pPr>
        <w:pStyle w:val="Heading2"/>
        <w:numPr>
          <w:ilvl w:val="0"/>
          <w:numId w:val="0"/>
        </w:numPr>
        <w:spacing w:before="0"/>
        <w:jc w:val="center"/>
        <w:rPr>
          <w:sz w:val="32"/>
          <w:u w:val="single"/>
        </w:rPr>
      </w:pPr>
      <w:bookmarkStart w:id="0" w:name="_Toc324413721"/>
      <w:bookmarkStart w:id="1" w:name="_Toc324415238"/>
      <w:bookmarkStart w:id="2" w:name="_Toc324415272"/>
      <w:bookmarkStart w:id="3" w:name="_Toc381808872"/>
      <w:r w:rsidRPr="001735C7">
        <w:rPr>
          <w:sz w:val="32"/>
          <w:u w:val="single"/>
        </w:rPr>
        <w:t>Appli</w:t>
      </w:r>
      <w:r w:rsidR="00AA0ED3" w:rsidRPr="001735C7">
        <w:rPr>
          <w:sz w:val="32"/>
          <w:u w:val="single"/>
        </w:rPr>
        <w:t>cation and agreement for use of</w:t>
      </w:r>
      <w:r w:rsidRPr="001735C7">
        <w:rPr>
          <w:sz w:val="32"/>
          <w:u w:val="single"/>
        </w:rPr>
        <w:br/>
        <w:t>electronic lodgement facility and entity details facility</w:t>
      </w:r>
      <w:bookmarkEnd w:id="0"/>
      <w:bookmarkEnd w:id="1"/>
      <w:bookmarkEnd w:id="2"/>
      <w:bookmarkEnd w:id="3"/>
    </w:p>
    <w:p w14:paraId="03E6E870" w14:textId="77777777" w:rsidR="00764108" w:rsidRPr="001735C7" w:rsidRDefault="00764108" w:rsidP="003F6C0D">
      <w:pPr>
        <w:rPr>
          <w:b/>
          <w:sz w:val="28"/>
          <w:szCs w:val="28"/>
        </w:rPr>
      </w:pPr>
      <w:r w:rsidRPr="001735C7">
        <w:rPr>
          <w:b/>
          <w:sz w:val="28"/>
          <w:szCs w:val="28"/>
        </w:rPr>
        <w:t>Part 1 – Application to use electronic lodgement facility and entity details facility</w:t>
      </w:r>
    </w:p>
    <w:tbl>
      <w:tblPr>
        <w:tblW w:w="9075" w:type="dxa"/>
        <w:tblLayout w:type="fixed"/>
        <w:tblCellMar>
          <w:left w:w="0" w:type="dxa"/>
          <w:right w:w="0" w:type="dxa"/>
        </w:tblCellMar>
        <w:tblLook w:val="0000" w:firstRow="0" w:lastRow="0" w:firstColumn="0" w:lastColumn="0" w:noHBand="0" w:noVBand="0"/>
      </w:tblPr>
      <w:tblGrid>
        <w:gridCol w:w="5387"/>
        <w:gridCol w:w="142"/>
        <w:gridCol w:w="851"/>
        <w:gridCol w:w="135"/>
        <w:gridCol w:w="6"/>
        <w:gridCol w:w="2554"/>
      </w:tblGrid>
      <w:tr w:rsidR="00764108" w:rsidRPr="001735C7" w14:paraId="38E6C04D" w14:textId="77777777" w:rsidTr="00012E85">
        <w:tc>
          <w:tcPr>
            <w:tcW w:w="5529" w:type="dxa"/>
            <w:gridSpan w:val="2"/>
            <w:tcBorders>
              <w:top w:val="nil"/>
              <w:left w:val="nil"/>
              <w:bottom w:val="nil"/>
              <w:right w:val="nil"/>
            </w:tcBorders>
          </w:tcPr>
          <w:p w14:paraId="4C6FB63A" w14:textId="77777777" w:rsidR="00764108" w:rsidRPr="001735C7" w:rsidRDefault="00764108" w:rsidP="00012E85">
            <w:pPr>
              <w:pStyle w:val="Caption-BOX"/>
              <w:spacing w:after="0"/>
              <w:rPr>
                <w:rFonts w:ascii="Arial Narrow" w:hAnsi="Arial Narrow"/>
              </w:rPr>
            </w:pPr>
            <w:r w:rsidRPr="001735C7">
              <w:rPr>
                <w:rFonts w:ascii="Arial Narrow" w:hAnsi="Arial Narrow"/>
              </w:rPr>
              <w:t>Name of entity</w:t>
            </w:r>
          </w:p>
        </w:tc>
        <w:tc>
          <w:tcPr>
            <w:tcW w:w="851" w:type="dxa"/>
            <w:tcBorders>
              <w:top w:val="nil"/>
              <w:left w:val="nil"/>
              <w:bottom w:val="nil"/>
              <w:right w:val="nil"/>
            </w:tcBorders>
          </w:tcPr>
          <w:p w14:paraId="74AEA8FB" w14:textId="3FF9CD27" w:rsidR="00764108" w:rsidRPr="001735C7" w:rsidRDefault="00764108" w:rsidP="00012E85">
            <w:pPr>
              <w:pStyle w:val="Caption-BOX"/>
              <w:spacing w:after="0"/>
              <w:rPr>
                <w:rFonts w:ascii="Arial Narrow" w:hAnsi="Arial Narrow"/>
                <w:lang w:val="fr-FR"/>
              </w:rPr>
            </w:pPr>
            <w:r w:rsidRPr="001735C7">
              <w:rPr>
                <w:rFonts w:ascii="Arial Narrow" w:hAnsi="Arial Narrow"/>
                <w:lang w:val="fr-FR"/>
              </w:rPr>
              <w:t xml:space="preserve">ASX </w:t>
            </w:r>
            <w:r w:rsidR="00D94074">
              <w:rPr>
                <w:rFonts w:ascii="Arial Narrow" w:hAnsi="Arial Narrow"/>
                <w:lang w:val="fr-FR"/>
              </w:rPr>
              <w:t>c</w:t>
            </w:r>
            <w:r w:rsidRPr="001735C7">
              <w:rPr>
                <w:rFonts w:ascii="Arial Narrow" w:hAnsi="Arial Narrow"/>
                <w:lang w:val="fr-FR"/>
              </w:rPr>
              <w:t>ode</w:t>
            </w:r>
            <w:r w:rsidR="00B923DF">
              <w:rPr>
                <w:rFonts w:ascii="Arial Narrow" w:hAnsi="Arial Narrow"/>
                <w:lang w:val="fr-FR"/>
              </w:rPr>
              <w:t>*</w:t>
            </w:r>
          </w:p>
        </w:tc>
        <w:tc>
          <w:tcPr>
            <w:tcW w:w="141" w:type="dxa"/>
            <w:gridSpan w:val="2"/>
            <w:tcBorders>
              <w:top w:val="nil"/>
              <w:left w:val="nil"/>
              <w:bottom w:val="nil"/>
              <w:right w:val="nil"/>
            </w:tcBorders>
          </w:tcPr>
          <w:p w14:paraId="6B95A42F" w14:textId="77777777" w:rsidR="00764108" w:rsidRPr="001735C7" w:rsidRDefault="00764108" w:rsidP="00012E85">
            <w:pPr>
              <w:pStyle w:val="Caption-BOX"/>
              <w:spacing w:after="0"/>
              <w:rPr>
                <w:rFonts w:ascii="Arial Narrow" w:hAnsi="Arial Narrow"/>
                <w:lang w:val="fr-FR"/>
              </w:rPr>
            </w:pPr>
          </w:p>
        </w:tc>
        <w:tc>
          <w:tcPr>
            <w:tcW w:w="2554" w:type="dxa"/>
            <w:tcBorders>
              <w:top w:val="nil"/>
              <w:left w:val="nil"/>
              <w:bottom w:val="nil"/>
              <w:right w:val="nil"/>
            </w:tcBorders>
          </w:tcPr>
          <w:p w14:paraId="66C89AC7" w14:textId="77777777" w:rsidR="00764108" w:rsidRPr="001735C7" w:rsidRDefault="00764108" w:rsidP="00012E85">
            <w:pPr>
              <w:pStyle w:val="Caption-BOX"/>
              <w:spacing w:after="0"/>
              <w:rPr>
                <w:rFonts w:ascii="Arial Narrow" w:hAnsi="Arial Narrow"/>
                <w:lang w:val="fr-FR"/>
              </w:rPr>
            </w:pPr>
            <w:r w:rsidRPr="001735C7">
              <w:rPr>
                <w:rFonts w:ascii="Arial Narrow" w:hAnsi="Arial Narrow"/>
                <w:lang w:val="fr-FR"/>
              </w:rPr>
              <w:t>ABN</w:t>
            </w:r>
          </w:p>
        </w:tc>
      </w:tr>
      <w:tr w:rsidR="00764108" w:rsidRPr="001735C7" w14:paraId="17773FDF" w14:textId="77777777" w:rsidTr="00012E85">
        <w:trPr>
          <w:trHeight w:val="400"/>
        </w:trPr>
        <w:tc>
          <w:tcPr>
            <w:tcW w:w="5387" w:type="dxa"/>
            <w:tcBorders>
              <w:top w:val="single" w:sz="6" w:space="0" w:color="auto"/>
              <w:left w:val="single" w:sz="6" w:space="0" w:color="auto"/>
              <w:bottom w:val="single" w:sz="6" w:space="0" w:color="auto"/>
              <w:right w:val="single" w:sz="6" w:space="0" w:color="auto"/>
            </w:tcBorders>
          </w:tcPr>
          <w:p w14:paraId="076C150E" w14:textId="77777777" w:rsidR="00764108" w:rsidRPr="001735C7" w:rsidRDefault="00764108" w:rsidP="00012E85">
            <w:pPr>
              <w:spacing w:before="120" w:after="120"/>
              <w:ind w:left="57"/>
              <w:jc w:val="left"/>
              <w:rPr>
                <w:color w:val="000000"/>
                <w:lang w:val="fr-FR"/>
              </w:rPr>
            </w:pPr>
          </w:p>
        </w:tc>
        <w:tc>
          <w:tcPr>
            <w:tcW w:w="142" w:type="dxa"/>
            <w:tcBorders>
              <w:top w:val="nil"/>
              <w:left w:val="nil"/>
              <w:bottom w:val="nil"/>
              <w:right w:val="nil"/>
            </w:tcBorders>
          </w:tcPr>
          <w:p w14:paraId="58706DB6" w14:textId="77777777" w:rsidR="00764108" w:rsidRPr="001735C7" w:rsidRDefault="00764108" w:rsidP="00012E85">
            <w:pPr>
              <w:spacing w:before="120" w:after="120"/>
              <w:ind w:left="57"/>
              <w:jc w:val="left"/>
              <w:rPr>
                <w:color w:val="000000"/>
                <w:lang w:val="fr-FR"/>
              </w:rPr>
            </w:pPr>
          </w:p>
        </w:tc>
        <w:tc>
          <w:tcPr>
            <w:tcW w:w="851" w:type="dxa"/>
            <w:tcBorders>
              <w:top w:val="single" w:sz="6" w:space="0" w:color="auto"/>
              <w:left w:val="single" w:sz="6" w:space="0" w:color="auto"/>
              <w:bottom w:val="single" w:sz="6" w:space="0" w:color="auto"/>
              <w:right w:val="single" w:sz="6" w:space="0" w:color="auto"/>
            </w:tcBorders>
          </w:tcPr>
          <w:p w14:paraId="6C2DBEB9" w14:textId="77777777" w:rsidR="00764108" w:rsidRPr="001735C7" w:rsidRDefault="00764108" w:rsidP="00012E85">
            <w:pPr>
              <w:spacing w:before="120" w:after="120"/>
              <w:ind w:left="57"/>
              <w:jc w:val="left"/>
              <w:rPr>
                <w:color w:val="000000"/>
                <w:lang w:val="fr-FR"/>
              </w:rPr>
            </w:pPr>
          </w:p>
        </w:tc>
        <w:tc>
          <w:tcPr>
            <w:tcW w:w="135" w:type="dxa"/>
            <w:tcBorders>
              <w:top w:val="nil"/>
              <w:left w:val="nil"/>
              <w:bottom w:val="nil"/>
              <w:right w:val="nil"/>
            </w:tcBorders>
          </w:tcPr>
          <w:p w14:paraId="31FAB6B8" w14:textId="77777777" w:rsidR="00764108" w:rsidRPr="001735C7" w:rsidRDefault="00764108" w:rsidP="00012E85">
            <w:pPr>
              <w:spacing w:before="120" w:after="120"/>
              <w:ind w:left="57"/>
              <w:jc w:val="left"/>
              <w:rPr>
                <w:color w:val="000000"/>
                <w:lang w:val="fr-FR"/>
              </w:rPr>
            </w:pPr>
          </w:p>
        </w:tc>
        <w:tc>
          <w:tcPr>
            <w:tcW w:w="2560" w:type="dxa"/>
            <w:gridSpan w:val="2"/>
            <w:tcBorders>
              <w:top w:val="single" w:sz="6" w:space="0" w:color="auto"/>
              <w:left w:val="single" w:sz="6" w:space="0" w:color="auto"/>
              <w:bottom w:val="single" w:sz="6" w:space="0" w:color="auto"/>
              <w:right w:val="single" w:sz="6" w:space="0" w:color="auto"/>
            </w:tcBorders>
          </w:tcPr>
          <w:p w14:paraId="7A407FE4" w14:textId="77777777" w:rsidR="00764108" w:rsidRPr="001735C7" w:rsidRDefault="00764108" w:rsidP="00012E85">
            <w:pPr>
              <w:spacing w:before="120" w:after="120"/>
              <w:ind w:left="57"/>
              <w:jc w:val="left"/>
              <w:rPr>
                <w:color w:val="000000"/>
                <w:lang w:val="fr-FR"/>
              </w:rPr>
            </w:pPr>
          </w:p>
        </w:tc>
      </w:tr>
    </w:tbl>
    <w:p w14:paraId="54DA132B" w14:textId="3BBB2EC5" w:rsidR="00B923DF" w:rsidRPr="00C46A4B" w:rsidRDefault="00B923DF" w:rsidP="00B923DF">
      <w:pPr>
        <w:pStyle w:val="Bullet1"/>
        <w:numPr>
          <w:ilvl w:val="0"/>
          <w:numId w:val="0"/>
        </w:numPr>
        <w:tabs>
          <w:tab w:val="clear" w:pos="567"/>
        </w:tabs>
        <w:spacing w:before="60"/>
        <w:rPr>
          <w:color w:val="000000"/>
          <w:sz w:val="18"/>
          <w:szCs w:val="20"/>
        </w:rPr>
      </w:pPr>
      <w:r>
        <w:rPr>
          <w:color w:val="000000"/>
          <w:sz w:val="18"/>
          <w:szCs w:val="20"/>
        </w:rPr>
        <w:t xml:space="preserve">* </w:t>
      </w:r>
      <w:r w:rsidR="00D94074">
        <w:rPr>
          <w:color w:val="000000"/>
          <w:sz w:val="18"/>
          <w:szCs w:val="20"/>
        </w:rPr>
        <w:t xml:space="preserve">If the entity is </w:t>
      </w:r>
      <w:r>
        <w:rPr>
          <w:color w:val="000000"/>
          <w:sz w:val="18"/>
          <w:szCs w:val="20"/>
        </w:rPr>
        <w:t>an AQUA Product Issuer or Warrant-Issuer</w:t>
      </w:r>
      <w:r w:rsidR="00D94074">
        <w:rPr>
          <w:color w:val="000000"/>
          <w:sz w:val="18"/>
          <w:szCs w:val="20"/>
        </w:rPr>
        <w:t>, leave the ASX code blank (this agreement is intended to apply to</w:t>
      </w:r>
      <w:r w:rsidR="001D5B39">
        <w:rPr>
          <w:color w:val="000000"/>
          <w:sz w:val="18"/>
          <w:szCs w:val="20"/>
        </w:rPr>
        <w:t xml:space="preserve"> all AQUA Products and W</w:t>
      </w:r>
      <w:r w:rsidR="00D94074">
        <w:rPr>
          <w:color w:val="000000"/>
          <w:sz w:val="18"/>
          <w:szCs w:val="20"/>
        </w:rPr>
        <w:t>arrants issued by the entity regardless of their ASX code).</w:t>
      </w:r>
    </w:p>
    <w:p w14:paraId="4D1E4B90" w14:textId="77777777" w:rsidR="00764108" w:rsidRPr="001735C7" w:rsidRDefault="00764108" w:rsidP="00B923DF">
      <w:pPr>
        <w:rPr>
          <w:color w:val="000000"/>
        </w:rPr>
      </w:pPr>
      <w:r w:rsidRPr="001735C7">
        <w:rPr>
          <w:color w:val="000000"/>
        </w:rPr>
        <w:t>We (the entity) apply to use the electronic lodgement facility</w:t>
      </w:r>
      <w:r w:rsidR="00512227">
        <w:rPr>
          <w:color w:val="000000"/>
        </w:rPr>
        <w:t xml:space="preserve"> </w:t>
      </w:r>
      <w:r w:rsidRPr="001735C7">
        <w:rPr>
          <w:color w:val="000000"/>
        </w:rPr>
        <w:t>and entity details facility and agree to comply with the terms of this agreement.</w:t>
      </w:r>
    </w:p>
    <w:p w14:paraId="1E459F38" w14:textId="77777777" w:rsidR="00764108" w:rsidRPr="001735C7" w:rsidRDefault="00764108" w:rsidP="00436D84">
      <w:pPr>
        <w:rPr>
          <w:b/>
          <w:sz w:val="28"/>
          <w:szCs w:val="28"/>
        </w:rPr>
      </w:pPr>
      <w:r w:rsidRPr="001735C7">
        <w:rPr>
          <w:b/>
          <w:sz w:val="28"/>
          <w:szCs w:val="28"/>
        </w:rPr>
        <w:t>Part 2 – Agreement</w:t>
      </w:r>
    </w:p>
    <w:p w14:paraId="6FF9DAE4" w14:textId="77777777" w:rsidR="00764108" w:rsidRPr="001735C7" w:rsidRDefault="00764108" w:rsidP="00436D84">
      <w:pPr>
        <w:keepNext/>
        <w:rPr>
          <w:b/>
        </w:rPr>
      </w:pPr>
      <w:r w:rsidRPr="001735C7">
        <w:rPr>
          <w:b/>
        </w:rPr>
        <w:t>ASX policy requirements</w:t>
      </w:r>
    </w:p>
    <w:p w14:paraId="5F4F5BD4" w14:textId="77777777" w:rsidR="00764108" w:rsidRPr="001735C7" w:rsidRDefault="00764108" w:rsidP="00436D84">
      <w:pPr>
        <w:ind w:left="567" w:hanging="567"/>
        <w:rPr>
          <w:color w:val="000000"/>
        </w:rPr>
      </w:pPr>
      <w:r w:rsidRPr="001735C7">
        <w:rPr>
          <w:color w:val="000000"/>
        </w:rPr>
        <w:t>1.</w:t>
      </w:r>
      <w:r w:rsidRPr="001735C7">
        <w:rPr>
          <w:color w:val="000000"/>
        </w:rPr>
        <w:tab/>
        <w:t xml:space="preserve">The ASX policy requirements as in force from </w:t>
      </w:r>
      <w:proofErr w:type="gramStart"/>
      <w:r w:rsidRPr="001735C7">
        <w:rPr>
          <w:color w:val="000000"/>
        </w:rPr>
        <w:t>time to time</w:t>
      </w:r>
      <w:proofErr w:type="gramEnd"/>
      <w:r w:rsidRPr="001735C7">
        <w:rPr>
          <w:color w:val="000000"/>
        </w:rPr>
        <w:t xml:space="preserve"> form part of this agreement and we agree to comply with them.</w:t>
      </w:r>
    </w:p>
    <w:p w14:paraId="0282CFBA" w14:textId="77777777" w:rsidR="00764108" w:rsidRPr="001735C7" w:rsidRDefault="00764108" w:rsidP="00436D84">
      <w:pPr>
        <w:ind w:left="567" w:hanging="567"/>
        <w:rPr>
          <w:color w:val="000000"/>
        </w:rPr>
      </w:pPr>
      <w:r w:rsidRPr="001735C7">
        <w:rPr>
          <w:color w:val="000000"/>
        </w:rPr>
        <w:t>2.</w:t>
      </w:r>
      <w:r w:rsidRPr="001735C7">
        <w:rPr>
          <w:color w:val="000000"/>
        </w:rPr>
        <w:tab/>
        <w:t>We acknowledge that ASX may vary the ASX policy requirements at any time by publishing notice of the variation on the ASX web site.</w:t>
      </w:r>
    </w:p>
    <w:p w14:paraId="6F67C1C6" w14:textId="77777777" w:rsidR="00764108" w:rsidRPr="001735C7" w:rsidRDefault="00764108" w:rsidP="00436D84">
      <w:pPr>
        <w:keepNext/>
        <w:rPr>
          <w:b/>
        </w:rPr>
      </w:pPr>
      <w:r w:rsidRPr="001735C7">
        <w:rPr>
          <w:b/>
        </w:rPr>
        <w:t>Licence to ASX</w:t>
      </w:r>
    </w:p>
    <w:p w14:paraId="7A81B367" w14:textId="77777777" w:rsidR="00764108" w:rsidRPr="001735C7" w:rsidRDefault="00764108" w:rsidP="00436D84">
      <w:pPr>
        <w:ind w:left="567" w:hanging="567"/>
        <w:rPr>
          <w:color w:val="000000"/>
        </w:rPr>
      </w:pPr>
      <w:r w:rsidRPr="001735C7">
        <w:rPr>
          <w:color w:val="000000"/>
        </w:rPr>
        <w:t>3.</w:t>
      </w:r>
      <w:r w:rsidRPr="001735C7">
        <w:rPr>
          <w:color w:val="000000"/>
        </w:rPr>
        <w:tab/>
        <w:t>We grant ASX a licence to use, copy, redistribute, transmit and publish any information given by us to ASX using the entity details facility.</w:t>
      </w:r>
    </w:p>
    <w:p w14:paraId="5CCC6B88" w14:textId="77777777" w:rsidR="00764108" w:rsidRPr="001735C7" w:rsidRDefault="00764108" w:rsidP="00436D84">
      <w:pPr>
        <w:keepNext/>
        <w:rPr>
          <w:b/>
        </w:rPr>
      </w:pPr>
      <w:r w:rsidRPr="001735C7">
        <w:rPr>
          <w:b/>
        </w:rPr>
        <w:t>Validity and reliance</w:t>
      </w:r>
    </w:p>
    <w:p w14:paraId="294616A7" w14:textId="77777777" w:rsidR="00764108" w:rsidRPr="001735C7" w:rsidRDefault="00764108" w:rsidP="00436D84">
      <w:pPr>
        <w:ind w:left="567" w:hanging="567"/>
        <w:rPr>
          <w:color w:val="000000"/>
        </w:rPr>
      </w:pPr>
      <w:r w:rsidRPr="001735C7">
        <w:rPr>
          <w:color w:val="000000"/>
        </w:rPr>
        <w:t>4.</w:t>
      </w:r>
      <w:r w:rsidRPr="001735C7">
        <w:rPr>
          <w:color w:val="000000"/>
        </w:rPr>
        <w:tab/>
        <w:t xml:space="preserve">If ASX receives an electronic document in accordance with the ASX policy requirements and the electronic document has been </w:t>
      </w:r>
      <w:proofErr w:type="spellStart"/>
      <w:r w:rsidRPr="001735C7">
        <w:rPr>
          <w:color w:val="000000"/>
        </w:rPr>
        <w:t>eLodged</w:t>
      </w:r>
      <w:proofErr w:type="spellEnd"/>
      <w:r w:rsidRPr="001735C7">
        <w:rPr>
          <w:color w:val="000000"/>
        </w:rPr>
        <w:t xml:space="preserve"> using the authentication procedures, each of the following apply.</w:t>
      </w:r>
    </w:p>
    <w:p w14:paraId="00DFBAC5" w14:textId="77777777" w:rsidR="00764108" w:rsidRPr="001735C7" w:rsidRDefault="00764108" w:rsidP="00436D84">
      <w:pPr>
        <w:ind w:left="1134" w:hanging="567"/>
        <w:rPr>
          <w:color w:val="000000"/>
        </w:rPr>
      </w:pPr>
      <w:r w:rsidRPr="001735C7">
        <w:rPr>
          <w:color w:val="000000"/>
        </w:rPr>
        <w:t>(a)</w:t>
      </w:r>
      <w:r w:rsidRPr="001735C7">
        <w:rPr>
          <w:color w:val="000000"/>
        </w:rPr>
        <w:tab/>
        <w:t>The electronic document is as valid, effective and enforceable as if it had been written on paper and signed by us.</w:t>
      </w:r>
    </w:p>
    <w:p w14:paraId="220CD097" w14:textId="77777777" w:rsidR="00764108" w:rsidRPr="001735C7" w:rsidRDefault="00764108" w:rsidP="00436D84">
      <w:pPr>
        <w:ind w:left="1134" w:hanging="567"/>
        <w:rPr>
          <w:color w:val="000000"/>
        </w:rPr>
      </w:pPr>
      <w:r w:rsidRPr="001735C7">
        <w:rPr>
          <w:color w:val="000000"/>
        </w:rPr>
        <w:t>(b)</w:t>
      </w:r>
      <w:r w:rsidRPr="001735C7">
        <w:rPr>
          <w:color w:val="000000"/>
        </w:rPr>
        <w:tab/>
        <w:t>The electronic document is taken to be authorised and sent by us.</w:t>
      </w:r>
    </w:p>
    <w:p w14:paraId="60AAED19" w14:textId="77777777" w:rsidR="00764108" w:rsidRPr="001735C7" w:rsidRDefault="00764108" w:rsidP="00436D84">
      <w:pPr>
        <w:ind w:left="1134" w:hanging="567"/>
        <w:rPr>
          <w:color w:val="000000"/>
        </w:rPr>
      </w:pPr>
      <w:r w:rsidRPr="001735C7">
        <w:rPr>
          <w:color w:val="000000"/>
        </w:rPr>
        <w:t>(c)</w:t>
      </w:r>
      <w:r w:rsidRPr="001735C7">
        <w:rPr>
          <w:color w:val="000000"/>
        </w:rPr>
        <w:tab/>
        <w:t>The electronic document is taken to be an identical copy of the document that we sent.</w:t>
      </w:r>
    </w:p>
    <w:p w14:paraId="1856BEED" w14:textId="77777777" w:rsidR="00764108" w:rsidRPr="001735C7" w:rsidRDefault="00764108" w:rsidP="00436D84">
      <w:pPr>
        <w:ind w:left="1134" w:hanging="567"/>
        <w:rPr>
          <w:color w:val="000000"/>
        </w:rPr>
      </w:pPr>
      <w:r w:rsidRPr="001735C7">
        <w:rPr>
          <w:color w:val="000000"/>
        </w:rPr>
        <w:t>(d)</w:t>
      </w:r>
      <w:r w:rsidRPr="001735C7">
        <w:rPr>
          <w:color w:val="000000"/>
        </w:rPr>
        <w:tab/>
        <w:t>ASX is entitled to act and rely on the electronic document.</w:t>
      </w:r>
    </w:p>
    <w:p w14:paraId="52E73601" w14:textId="77777777" w:rsidR="00764108" w:rsidRPr="001735C7" w:rsidRDefault="00764108" w:rsidP="00436D84">
      <w:pPr>
        <w:ind w:left="1134" w:hanging="567"/>
        <w:rPr>
          <w:color w:val="000000"/>
        </w:rPr>
      </w:pPr>
      <w:r w:rsidRPr="001735C7">
        <w:rPr>
          <w:color w:val="000000"/>
        </w:rPr>
        <w:t>(e)</w:t>
      </w:r>
      <w:r w:rsidRPr="001735C7">
        <w:rPr>
          <w:color w:val="000000"/>
        </w:rPr>
        <w:tab/>
        <w:t>If the electronic document contains any representations or warranties, we (the entity) make those representations or warranties.</w:t>
      </w:r>
    </w:p>
    <w:p w14:paraId="0B0FAF24" w14:textId="77777777" w:rsidR="00764108" w:rsidRPr="001735C7" w:rsidRDefault="00764108" w:rsidP="00436D84">
      <w:pPr>
        <w:ind w:left="1134" w:hanging="567"/>
        <w:rPr>
          <w:color w:val="000000"/>
        </w:rPr>
      </w:pPr>
      <w:r w:rsidRPr="001735C7">
        <w:rPr>
          <w:color w:val="000000"/>
        </w:rPr>
        <w:t>(f)</w:t>
      </w:r>
      <w:r w:rsidRPr="001735C7">
        <w:rPr>
          <w:color w:val="000000"/>
        </w:rPr>
        <w:tab/>
        <w:t xml:space="preserve">The electronic document complies with the requirements of the </w:t>
      </w:r>
      <w:r w:rsidR="00F534F8">
        <w:rPr>
          <w:color w:val="000000"/>
        </w:rPr>
        <w:t>ASX L</w:t>
      </w:r>
      <w:r w:rsidRPr="001735C7">
        <w:rPr>
          <w:color w:val="000000"/>
        </w:rPr>
        <w:t xml:space="preserve">isting </w:t>
      </w:r>
      <w:r w:rsidR="00F534F8">
        <w:rPr>
          <w:color w:val="000000"/>
        </w:rPr>
        <w:t>R</w:t>
      </w:r>
      <w:r w:rsidRPr="001735C7">
        <w:rPr>
          <w:color w:val="000000"/>
        </w:rPr>
        <w:t>ules</w:t>
      </w:r>
      <w:r w:rsidR="00F534F8" w:rsidRPr="00F534F8">
        <w:rPr>
          <w:color w:val="000000"/>
        </w:rPr>
        <w:t>, the ASX Operating Rules</w:t>
      </w:r>
      <w:r w:rsidRPr="001735C7">
        <w:rPr>
          <w:color w:val="000000"/>
        </w:rPr>
        <w:t xml:space="preserve"> and the Corporations Act</w:t>
      </w:r>
      <w:r w:rsidR="00F534F8">
        <w:rPr>
          <w:color w:val="000000"/>
        </w:rPr>
        <w:t xml:space="preserve"> </w:t>
      </w:r>
      <w:r w:rsidR="00F534F8" w:rsidRPr="00F534F8">
        <w:rPr>
          <w:color w:val="000000"/>
        </w:rPr>
        <w:t>(as applicable)</w:t>
      </w:r>
      <w:r w:rsidRPr="001735C7">
        <w:rPr>
          <w:color w:val="000000"/>
        </w:rPr>
        <w:t>.</w:t>
      </w:r>
    </w:p>
    <w:p w14:paraId="73BEA555" w14:textId="77777777" w:rsidR="00764108" w:rsidRPr="001735C7" w:rsidRDefault="00764108" w:rsidP="00436D84">
      <w:pPr>
        <w:ind w:left="567" w:hanging="567"/>
        <w:rPr>
          <w:color w:val="000000"/>
        </w:rPr>
      </w:pPr>
      <w:r w:rsidRPr="001735C7">
        <w:rPr>
          <w:color w:val="000000"/>
        </w:rPr>
        <w:t>5.</w:t>
      </w:r>
      <w:r w:rsidRPr="001735C7">
        <w:rPr>
          <w:color w:val="000000"/>
        </w:rPr>
        <w:tab/>
        <w:t>Clause 4 does not apply in the case of a particular document if each of the following apply.</w:t>
      </w:r>
    </w:p>
    <w:p w14:paraId="73D9A2FD" w14:textId="77777777" w:rsidR="00764108" w:rsidRPr="001735C7" w:rsidRDefault="00764108" w:rsidP="00436D84">
      <w:pPr>
        <w:ind w:left="1134" w:hanging="567"/>
        <w:rPr>
          <w:color w:val="000000"/>
        </w:rPr>
      </w:pPr>
      <w:r w:rsidRPr="001735C7">
        <w:rPr>
          <w:color w:val="000000"/>
        </w:rPr>
        <w:t>(a)</w:t>
      </w:r>
      <w:r w:rsidRPr="001735C7">
        <w:rPr>
          <w:color w:val="000000"/>
        </w:rPr>
        <w:tab/>
        <w:t>Before the electronic document is received by ASX, we give ASX a notice stating that the electronic document is not authorised by us.</w:t>
      </w:r>
    </w:p>
    <w:p w14:paraId="7F4EC083" w14:textId="77777777" w:rsidR="00764108" w:rsidRPr="001735C7" w:rsidRDefault="00764108" w:rsidP="00436D84">
      <w:pPr>
        <w:ind w:left="1134" w:hanging="567"/>
        <w:rPr>
          <w:color w:val="000000"/>
        </w:rPr>
      </w:pPr>
      <w:r w:rsidRPr="001735C7">
        <w:rPr>
          <w:color w:val="000000"/>
        </w:rPr>
        <w:t>(b)</w:t>
      </w:r>
      <w:r w:rsidRPr="001735C7">
        <w:rPr>
          <w:color w:val="000000"/>
        </w:rPr>
        <w:tab/>
        <w:t>ASX has a reasonable time to act on that notice before it receives the electronic document.</w:t>
      </w:r>
    </w:p>
    <w:p w14:paraId="0B3C647E" w14:textId="77777777" w:rsidR="00764108" w:rsidRPr="001735C7" w:rsidRDefault="00764108" w:rsidP="00436D84">
      <w:pPr>
        <w:ind w:left="567" w:hanging="567"/>
        <w:rPr>
          <w:color w:val="000000"/>
        </w:rPr>
      </w:pPr>
      <w:r w:rsidRPr="001735C7">
        <w:rPr>
          <w:color w:val="000000"/>
        </w:rPr>
        <w:t>6.</w:t>
      </w:r>
      <w:r w:rsidRPr="001735C7">
        <w:rPr>
          <w:color w:val="000000"/>
        </w:rPr>
        <w:tab/>
        <w:t>We warrant that where the authentication procedures have been used to enter information using the entity details facility that the information is true and accurate. We acknowledge each of the following.</w:t>
      </w:r>
    </w:p>
    <w:p w14:paraId="26E7F5D7" w14:textId="75EBA0A3" w:rsidR="00835161" w:rsidRDefault="00764108" w:rsidP="00436D84">
      <w:pPr>
        <w:ind w:left="1134" w:hanging="567"/>
        <w:rPr>
          <w:color w:val="000000"/>
        </w:rPr>
      </w:pPr>
      <w:r w:rsidRPr="001735C7">
        <w:rPr>
          <w:color w:val="000000"/>
        </w:rPr>
        <w:t>(a)</w:t>
      </w:r>
      <w:r w:rsidRPr="001735C7">
        <w:rPr>
          <w:color w:val="000000"/>
        </w:rPr>
        <w:tab/>
        <w:t>ASX is entitled to act and rely on that information.</w:t>
      </w:r>
    </w:p>
    <w:p w14:paraId="6B7E82ED" w14:textId="77777777" w:rsidR="00764108" w:rsidRPr="00835161" w:rsidRDefault="00764108" w:rsidP="00835161"/>
    <w:p w14:paraId="2BCEF832" w14:textId="77777777" w:rsidR="00764108" w:rsidRPr="001735C7" w:rsidRDefault="00764108" w:rsidP="00436D84">
      <w:pPr>
        <w:ind w:left="1134" w:hanging="567"/>
        <w:rPr>
          <w:color w:val="000000"/>
        </w:rPr>
      </w:pPr>
      <w:r w:rsidRPr="001735C7">
        <w:rPr>
          <w:color w:val="000000"/>
        </w:rPr>
        <w:lastRenderedPageBreak/>
        <w:t>(b)</w:t>
      </w:r>
      <w:r w:rsidRPr="001735C7">
        <w:rPr>
          <w:color w:val="000000"/>
        </w:rPr>
        <w:tab/>
        <w:t xml:space="preserve">Entry of the information is not compliance with an obligation to give that information to ASX under the </w:t>
      </w:r>
      <w:r w:rsidR="00F534F8">
        <w:rPr>
          <w:color w:val="000000"/>
        </w:rPr>
        <w:t>ASX L</w:t>
      </w:r>
      <w:r w:rsidRPr="001735C7">
        <w:rPr>
          <w:color w:val="000000"/>
        </w:rPr>
        <w:t xml:space="preserve">isting </w:t>
      </w:r>
      <w:r w:rsidR="00F534F8">
        <w:rPr>
          <w:color w:val="000000"/>
        </w:rPr>
        <w:t>R</w:t>
      </w:r>
      <w:r w:rsidRPr="001735C7">
        <w:rPr>
          <w:color w:val="000000"/>
        </w:rPr>
        <w:t>ules</w:t>
      </w:r>
      <w:r w:rsidR="00F534F8" w:rsidRPr="00F534F8">
        <w:rPr>
          <w:color w:val="000000"/>
        </w:rPr>
        <w:t xml:space="preserve"> </w:t>
      </w:r>
      <w:r w:rsidR="00F534F8">
        <w:rPr>
          <w:color w:val="000000"/>
        </w:rPr>
        <w:t xml:space="preserve">or </w:t>
      </w:r>
      <w:r w:rsidR="00F534F8" w:rsidRPr="00F534F8">
        <w:rPr>
          <w:color w:val="000000"/>
        </w:rPr>
        <w:t>ASX Operating Rules</w:t>
      </w:r>
      <w:r w:rsidR="00F534F8" w:rsidRPr="001735C7">
        <w:rPr>
          <w:color w:val="000000"/>
        </w:rPr>
        <w:t xml:space="preserve"> </w:t>
      </w:r>
      <w:r w:rsidR="00F534F8" w:rsidRPr="00F534F8">
        <w:rPr>
          <w:color w:val="000000"/>
        </w:rPr>
        <w:t>(as applicable)</w:t>
      </w:r>
      <w:r w:rsidRPr="001735C7">
        <w:rPr>
          <w:color w:val="000000"/>
        </w:rPr>
        <w:t>.</w:t>
      </w:r>
    </w:p>
    <w:p w14:paraId="3E146DC1" w14:textId="77777777" w:rsidR="00764108" w:rsidRPr="001735C7" w:rsidRDefault="00764108" w:rsidP="00436D84">
      <w:pPr>
        <w:ind w:left="567" w:hanging="567"/>
        <w:rPr>
          <w:color w:val="000000"/>
        </w:rPr>
      </w:pPr>
      <w:r w:rsidRPr="001735C7">
        <w:rPr>
          <w:color w:val="000000"/>
        </w:rPr>
        <w:t>7.</w:t>
      </w:r>
      <w:r w:rsidRPr="001735C7">
        <w:rPr>
          <w:color w:val="000000"/>
        </w:rPr>
        <w:tab/>
        <w:t xml:space="preserve">We warrant that where the authentication procedures have been used to enter information using the entity details facility or </w:t>
      </w:r>
      <w:proofErr w:type="spellStart"/>
      <w:r w:rsidRPr="001735C7">
        <w:rPr>
          <w:color w:val="000000"/>
        </w:rPr>
        <w:t>eLodge</w:t>
      </w:r>
      <w:proofErr w:type="spellEnd"/>
      <w:r w:rsidRPr="001735C7">
        <w:rPr>
          <w:color w:val="000000"/>
        </w:rPr>
        <w:t xml:space="preserve"> documents that the information is not defamatory of any person and release of the information to the market would not be a contempt of court.</w:t>
      </w:r>
    </w:p>
    <w:p w14:paraId="30C36BEB" w14:textId="77777777" w:rsidR="00764108" w:rsidRPr="001735C7" w:rsidRDefault="00764108" w:rsidP="00436D84">
      <w:pPr>
        <w:keepNext/>
        <w:rPr>
          <w:b/>
        </w:rPr>
      </w:pPr>
      <w:r w:rsidRPr="001735C7">
        <w:rPr>
          <w:b/>
        </w:rPr>
        <w:t>Limitation of liability</w:t>
      </w:r>
    </w:p>
    <w:p w14:paraId="540FD1F0" w14:textId="77777777" w:rsidR="00764108" w:rsidRPr="001735C7" w:rsidRDefault="00764108" w:rsidP="00436D84">
      <w:pPr>
        <w:ind w:left="567" w:hanging="567"/>
        <w:rPr>
          <w:color w:val="000000"/>
        </w:rPr>
      </w:pPr>
      <w:r w:rsidRPr="001735C7">
        <w:rPr>
          <w:color w:val="000000"/>
        </w:rPr>
        <w:t>8.</w:t>
      </w:r>
      <w:r w:rsidRPr="001735C7">
        <w:rPr>
          <w:color w:val="000000"/>
        </w:rPr>
        <w:tab/>
        <w:t>Except to the extent that a warranty is implied by law or liability by law cannot be excluded, each of the following apply.</w:t>
      </w:r>
    </w:p>
    <w:p w14:paraId="7DF5CD89" w14:textId="77777777" w:rsidR="00764108" w:rsidRPr="001735C7" w:rsidRDefault="00764108" w:rsidP="00436D84">
      <w:pPr>
        <w:ind w:left="1134" w:hanging="567"/>
        <w:rPr>
          <w:color w:val="000000"/>
        </w:rPr>
      </w:pPr>
      <w:r w:rsidRPr="001735C7">
        <w:rPr>
          <w:color w:val="000000"/>
        </w:rPr>
        <w:t>(a)</w:t>
      </w:r>
      <w:r w:rsidRPr="001735C7">
        <w:rPr>
          <w:color w:val="000000"/>
        </w:rPr>
        <w:tab/>
        <w:t>ASX does not warrant that the electronic lodgement facility or entity details facility provided will be available or will function or perform as expected or required.</w:t>
      </w:r>
    </w:p>
    <w:p w14:paraId="59DAE971" w14:textId="77777777" w:rsidR="00764108" w:rsidRPr="001735C7" w:rsidRDefault="00764108" w:rsidP="00436D84">
      <w:pPr>
        <w:ind w:left="1134" w:hanging="567"/>
        <w:rPr>
          <w:color w:val="000000"/>
        </w:rPr>
      </w:pPr>
      <w:r w:rsidRPr="001735C7">
        <w:rPr>
          <w:color w:val="000000"/>
        </w:rPr>
        <w:t>(b)</w:t>
      </w:r>
      <w:r w:rsidRPr="001735C7">
        <w:rPr>
          <w:color w:val="000000"/>
        </w:rPr>
        <w:tab/>
        <w:t xml:space="preserve">ASX is not liable to us or any other person for any loss, damage, costs or expenses of any kind arising out of or in connection with any delay, omission, default or error by ASX in relation to the availability, functionality or performance of the ASX web site, the electronic transmission, receipt or any other dealing with an </w:t>
      </w:r>
      <w:proofErr w:type="spellStart"/>
      <w:r w:rsidRPr="001735C7">
        <w:rPr>
          <w:color w:val="000000"/>
        </w:rPr>
        <w:t>eLodged</w:t>
      </w:r>
      <w:proofErr w:type="spellEnd"/>
      <w:r w:rsidRPr="001735C7">
        <w:rPr>
          <w:color w:val="000000"/>
        </w:rPr>
        <w:t xml:space="preserve"> document, or any dealing with the information entered using the entity details facility, except where such loss, damage, costs or expenses are due to a wilful, unlawful or negligent act or omission on the part of ASX.</w:t>
      </w:r>
    </w:p>
    <w:p w14:paraId="3E3A8AD0" w14:textId="77777777" w:rsidR="00764108" w:rsidRPr="001735C7" w:rsidRDefault="00764108" w:rsidP="00436D84">
      <w:pPr>
        <w:ind w:left="1134" w:hanging="567"/>
        <w:rPr>
          <w:color w:val="000000"/>
        </w:rPr>
      </w:pPr>
      <w:r w:rsidRPr="001735C7">
        <w:rPr>
          <w:color w:val="000000"/>
        </w:rPr>
        <w:t>(c)</w:t>
      </w:r>
      <w:r w:rsidRPr="001735C7">
        <w:rPr>
          <w:color w:val="000000"/>
        </w:rPr>
        <w:tab/>
        <w:t xml:space="preserve">ASX is not liable to us or any other person for any indirect or consequential loss or damage, or loss of data or profits, </w:t>
      </w:r>
      <w:proofErr w:type="gramStart"/>
      <w:r w:rsidRPr="001735C7">
        <w:rPr>
          <w:color w:val="000000"/>
        </w:rPr>
        <w:t>whether or not</w:t>
      </w:r>
      <w:proofErr w:type="gramEnd"/>
      <w:r w:rsidRPr="001735C7">
        <w:rPr>
          <w:color w:val="000000"/>
        </w:rPr>
        <w:t xml:space="preserve"> ASX was aware of the possibility of such loss or damage.</w:t>
      </w:r>
    </w:p>
    <w:p w14:paraId="66EC2394" w14:textId="77777777" w:rsidR="00764108" w:rsidRPr="001735C7" w:rsidRDefault="00764108" w:rsidP="00436D84">
      <w:pPr>
        <w:ind w:left="567" w:hanging="567"/>
        <w:rPr>
          <w:color w:val="000000"/>
        </w:rPr>
      </w:pPr>
      <w:r w:rsidRPr="001735C7">
        <w:rPr>
          <w:color w:val="000000"/>
        </w:rPr>
        <w:t>9.</w:t>
      </w:r>
      <w:r w:rsidRPr="001735C7">
        <w:rPr>
          <w:color w:val="000000"/>
        </w:rPr>
        <w:tab/>
        <w:t xml:space="preserve">We shall </w:t>
      </w:r>
      <w:proofErr w:type="gramStart"/>
      <w:r w:rsidRPr="001735C7">
        <w:rPr>
          <w:color w:val="000000"/>
        </w:rPr>
        <w:t>at all times</w:t>
      </w:r>
      <w:proofErr w:type="gramEnd"/>
      <w:r w:rsidRPr="001735C7">
        <w:rPr>
          <w:color w:val="000000"/>
        </w:rPr>
        <w:t xml:space="preserve"> indemnify and hold harmless, ASX, its subsidiary companies and their officers, employees and agents from and against any loss (including reasonable legal costs and expenses) or liability incurred or suffered by any of them arising from any proceedings against them where such loss or liability was caused by any of the following.</w:t>
      </w:r>
    </w:p>
    <w:p w14:paraId="0C1DD2B0" w14:textId="77777777" w:rsidR="00764108" w:rsidRPr="001735C7" w:rsidRDefault="00764108" w:rsidP="00436D84">
      <w:pPr>
        <w:ind w:left="1134" w:hanging="567"/>
        <w:rPr>
          <w:color w:val="000000"/>
        </w:rPr>
      </w:pPr>
      <w:r w:rsidRPr="001735C7">
        <w:rPr>
          <w:color w:val="000000"/>
        </w:rPr>
        <w:t>(a)</w:t>
      </w:r>
      <w:r w:rsidRPr="001735C7">
        <w:rPr>
          <w:color w:val="000000"/>
        </w:rPr>
        <w:tab/>
        <w:t>A breach by us of our obligations (including warranties) under this agreement.</w:t>
      </w:r>
    </w:p>
    <w:p w14:paraId="6F286F52" w14:textId="77777777" w:rsidR="00764108" w:rsidRPr="001735C7" w:rsidRDefault="00764108" w:rsidP="00436D84">
      <w:pPr>
        <w:ind w:left="1134" w:hanging="567"/>
        <w:rPr>
          <w:color w:val="000000"/>
        </w:rPr>
      </w:pPr>
      <w:r w:rsidRPr="001735C7">
        <w:rPr>
          <w:color w:val="000000"/>
        </w:rPr>
        <w:t>(b)</w:t>
      </w:r>
      <w:r w:rsidRPr="001735C7">
        <w:rPr>
          <w:color w:val="000000"/>
        </w:rPr>
        <w:tab/>
        <w:t>Any wilful, unlawful or negligent act or omission by us.</w:t>
      </w:r>
    </w:p>
    <w:p w14:paraId="7D437E44" w14:textId="77777777" w:rsidR="00764108" w:rsidRPr="001735C7" w:rsidRDefault="00764108" w:rsidP="00436D84">
      <w:pPr>
        <w:keepNext/>
        <w:rPr>
          <w:b/>
        </w:rPr>
      </w:pPr>
      <w:r w:rsidRPr="001735C7">
        <w:rPr>
          <w:b/>
        </w:rPr>
        <w:t>Termination of this agreement</w:t>
      </w:r>
    </w:p>
    <w:p w14:paraId="2150030C" w14:textId="77777777" w:rsidR="00764108" w:rsidRPr="001735C7" w:rsidRDefault="00764108" w:rsidP="00436D84">
      <w:pPr>
        <w:ind w:left="567" w:hanging="567"/>
        <w:rPr>
          <w:color w:val="000000"/>
        </w:rPr>
      </w:pPr>
      <w:r w:rsidRPr="001735C7">
        <w:rPr>
          <w:color w:val="000000"/>
        </w:rPr>
        <w:t>10.</w:t>
      </w:r>
      <w:r w:rsidRPr="001735C7">
        <w:rPr>
          <w:color w:val="000000"/>
        </w:rPr>
        <w:tab/>
        <w:t>ASX may terminate this agreement in any of the following cases.</w:t>
      </w:r>
    </w:p>
    <w:p w14:paraId="15919F15" w14:textId="77777777" w:rsidR="00764108" w:rsidRPr="001735C7" w:rsidRDefault="00764108" w:rsidP="00436D84">
      <w:pPr>
        <w:ind w:left="1134" w:hanging="567"/>
        <w:rPr>
          <w:color w:val="000000"/>
        </w:rPr>
      </w:pPr>
      <w:r w:rsidRPr="001735C7">
        <w:rPr>
          <w:color w:val="000000"/>
        </w:rPr>
        <w:t>(a)</w:t>
      </w:r>
      <w:r w:rsidRPr="001735C7">
        <w:rPr>
          <w:color w:val="000000"/>
        </w:rPr>
        <w:tab/>
        <w:t>At any time, by giving us not less than 14 days written notice.</w:t>
      </w:r>
    </w:p>
    <w:p w14:paraId="0E909331" w14:textId="77777777" w:rsidR="00764108" w:rsidRPr="001735C7" w:rsidRDefault="00764108" w:rsidP="00436D84">
      <w:pPr>
        <w:ind w:left="1134" w:hanging="567"/>
        <w:rPr>
          <w:color w:val="000000"/>
        </w:rPr>
      </w:pPr>
      <w:r w:rsidRPr="001735C7">
        <w:rPr>
          <w:color w:val="000000"/>
        </w:rPr>
        <w:t>(b)</w:t>
      </w:r>
      <w:r w:rsidRPr="001735C7">
        <w:rPr>
          <w:color w:val="000000"/>
        </w:rPr>
        <w:tab/>
        <w:t>Immediately, if we are in breach of any term of this agreement.</w:t>
      </w:r>
    </w:p>
    <w:p w14:paraId="5B6B78DE" w14:textId="77777777" w:rsidR="00764108" w:rsidRPr="001735C7" w:rsidRDefault="00764108" w:rsidP="00436D84">
      <w:pPr>
        <w:ind w:left="1134" w:hanging="567"/>
        <w:rPr>
          <w:color w:val="000000"/>
        </w:rPr>
      </w:pPr>
      <w:r w:rsidRPr="001735C7">
        <w:rPr>
          <w:color w:val="000000"/>
        </w:rPr>
        <w:t>(c)</w:t>
      </w:r>
      <w:r w:rsidRPr="001735C7">
        <w:rPr>
          <w:color w:val="000000"/>
        </w:rPr>
        <w:tab/>
        <w:t>Immediately, if ASIC terminates our ability to lodge documents electronically with ASX as agent for ASIC</w:t>
      </w:r>
      <w:r w:rsidR="00F534F8" w:rsidRPr="00F534F8">
        <w:t xml:space="preserve"> </w:t>
      </w:r>
      <w:r w:rsidR="00F534F8" w:rsidRPr="00F534F8">
        <w:rPr>
          <w:color w:val="000000"/>
        </w:rPr>
        <w:t>(</w:t>
      </w:r>
      <w:r w:rsidR="00F534F8">
        <w:rPr>
          <w:color w:val="000000"/>
        </w:rPr>
        <w:t>if</w:t>
      </w:r>
      <w:r w:rsidR="00F534F8" w:rsidRPr="00F534F8">
        <w:rPr>
          <w:color w:val="000000"/>
        </w:rPr>
        <w:t xml:space="preserve"> applicable)</w:t>
      </w:r>
      <w:r w:rsidRPr="001735C7">
        <w:rPr>
          <w:color w:val="000000"/>
        </w:rPr>
        <w:t>.</w:t>
      </w:r>
    </w:p>
    <w:p w14:paraId="4508D416" w14:textId="77777777" w:rsidR="00764108" w:rsidRPr="001735C7" w:rsidRDefault="00764108" w:rsidP="00436D84">
      <w:pPr>
        <w:ind w:left="567" w:hanging="567"/>
        <w:rPr>
          <w:color w:val="000000"/>
        </w:rPr>
      </w:pPr>
      <w:r w:rsidRPr="001735C7">
        <w:rPr>
          <w:color w:val="000000"/>
        </w:rPr>
        <w:t>11.</w:t>
      </w:r>
      <w:r w:rsidRPr="001735C7">
        <w:rPr>
          <w:color w:val="000000"/>
        </w:rPr>
        <w:tab/>
        <w:t>We may terminate this agreement at any time by giving ASX not less than 14 days’ notice.</w:t>
      </w:r>
    </w:p>
    <w:p w14:paraId="7EBD17FF" w14:textId="77777777" w:rsidR="00764108" w:rsidRPr="001735C7" w:rsidRDefault="00764108" w:rsidP="00436D84">
      <w:pPr>
        <w:keepNext/>
        <w:rPr>
          <w:b/>
        </w:rPr>
      </w:pPr>
      <w:r w:rsidRPr="001735C7">
        <w:rPr>
          <w:b/>
        </w:rPr>
        <w:t>Governing law</w:t>
      </w:r>
    </w:p>
    <w:p w14:paraId="374E80D5" w14:textId="77777777" w:rsidR="00764108" w:rsidRPr="001735C7" w:rsidRDefault="00764108" w:rsidP="00436D84">
      <w:pPr>
        <w:ind w:left="567" w:hanging="567"/>
        <w:rPr>
          <w:color w:val="000000"/>
        </w:rPr>
      </w:pPr>
      <w:r w:rsidRPr="001735C7">
        <w:rPr>
          <w:color w:val="000000"/>
        </w:rPr>
        <w:t>12.</w:t>
      </w:r>
      <w:r w:rsidRPr="001735C7">
        <w:rPr>
          <w:color w:val="000000"/>
        </w:rPr>
        <w:tab/>
        <w:t>This agreement is governed by the law of New South Wales.</w:t>
      </w:r>
    </w:p>
    <w:p w14:paraId="59B13422" w14:textId="77777777" w:rsidR="00764108" w:rsidRPr="001735C7" w:rsidRDefault="00764108" w:rsidP="00436D84">
      <w:pPr>
        <w:keepNext/>
        <w:rPr>
          <w:b/>
        </w:rPr>
      </w:pPr>
      <w:r w:rsidRPr="001735C7">
        <w:rPr>
          <w:b/>
        </w:rPr>
        <w:t>Definitions</w:t>
      </w:r>
    </w:p>
    <w:p w14:paraId="7E29E480" w14:textId="77777777" w:rsidR="00764108" w:rsidRPr="001735C7" w:rsidRDefault="00764108" w:rsidP="00436D84">
      <w:pPr>
        <w:ind w:left="567" w:hanging="567"/>
        <w:rPr>
          <w:color w:val="000000"/>
        </w:rPr>
      </w:pPr>
      <w:r w:rsidRPr="001735C7">
        <w:rPr>
          <w:color w:val="000000"/>
        </w:rPr>
        <w:t>13.</w:t>
      </w:r>
      <w:r w:rsidRPr="001735C7">
        <w:rPr>
          <w:color w:val="000000"/>
        </w:rPr>
        <w:tab/>
        <w:t xml:space="preserve">Expressions that are not defined in this </w:t>
      </w:r>
      <w:proofErr w:type="gramStart"/>
      <w:r w:rsidRPr="001735C7">
        <w:rPr>
          <w:color w:val="000000"/>
        </w:rPr>
        <w:t>agreement, but</w:t>
      </w:r>
      <w:proofErr w:type="gramEnd"/>
      <w:r w:rsidRPr="001735C7">
        <w:rPr>
          <w:color w:val="000000"/>
        </w:rPr>
        <w:t xml:space="preserve"> have a particular meaning in the </w:t>
      </w:r>
      <w:r w:rsidR="00F534F8">
        <w:rPr>
          <w:color w:val="000000"/>
        </w:rPr>
        <w:t>ASX L</w:t>
      </w:r>
      <w:r w:rsidRPr="001735C7">
        <w:rPr>
          <w:color w:val="000000"/>
        </w:rPr>
        <w:t xml:space="preserve">isting </w:t>
      </w:r>
      <w:r w:rsidR="00F534F8">
        <w:rPr>
          <w:color w:val="000000"/>
        </w:rPr>
        <w:t>R</w:t>
      </w:r>
      <w:r w:rsidRPr="001735C7">
        <w:rPr>
          <w:color w:val="000000"/>
        </w:rPr>
        <w:t xml:space="preserve">ules </w:t>
      </w:r>
      <w:r w:rsidR="00F534F8" w:rsidRPr="00F534F8">
        <w:rPr>
          <w:color w:val="000000"/>
        </w:rPr>
        <w:t>or ASX Operating Rules (as applicable)</w:t>
      </w:r>
      <w:r w:rsidR="00F534F8">
        <w:rPr>
          <w:color w:val="000000"/>
        </w:rPr>
        <w:t xml:space="preserve"> </w:t>
      </w:r>
      <w:r w:rsidRPr="001735C7">
        <w:rPr>
          <w:color w:val="000000"/>
        </w:rPr>
        <w:t>have the same meaning in this agreement.</w:t>
      </w:r>
    </w:p>
    <w:p w14:paraId="282FEEC6" w14:textId="77777777" w:rsidR="00764108" w:rsidRPr="001735C7" w:rsidRDefault="00764108" w:rsidP="00436D84">
      <w:pPr>
        <w:ind w:left="567" w:hanging="567"/>
        <w:rPr>
          <w:color w:val="000000"/>
        </w:rPr>
      </w:pPr>
      <w:r w:rsidRPr="001735C7">
        <w:rPr>
          <w:color w:val="000000"/>
        </w:rPr>
        <w:t>14.</w:t>
      </w:r>
      <w:r w:rsidRPr="001735C7">
        <w:rPr>
          <w:color w:val="000000"/>
        </w:rPr>
        <w:tab/>
        <w:t>The following expressions have the meanings set out below.</w:t>
      </w:r>
    </w:p>
    <w:tbl>
      <w:tblPr>
        <w:tblW w:w="8505" w:type="dxa"/>
        <w:tblInd w:w="567" w:type="dxa"/>
        <w:tblLayout w:type="fixed"/>
        <w:tblCellMar>
          <w:left w:w="0" w:type="dxa"/>
          <w:right w:w="0" w:type="dxa"/>
        </w:tblCellMar>
        <w:tblLook w:val="0000" w:firstRow="0" w:lastRow="0" w:firstColumn="0" w:lastColumn="0" w:noHBand="0" w:noVBand="0"/>
      </w:tblPr>
      <w:tblGrid>
        <w:gridCol w:w="2011"/>
        <w:gridCol w:w="6494"/>
      </w:tblGrid>
      <w:tr w:rsidR="00764108" w:rsidRPr="001735C7" w14:paraId="4C90FD12" w14:textId="77777777" w:rsidTr="00036E6D">
        <w:trPr>
          <w:cantSplit/>
          <w:tblHeader/>
        </w:trPr>
        <w:tc>
          <w:tcPr>
            <w:tcW w:w="1977" w:type="dxa"/>
            <w:tcBorders>
              <w:top w:val="nil"/>
              <w:left w:val="nil"/>
              <w:bottom w:val="nil"/>
              <w:right w:val="nil"/>
            </w:tcBorders>
          </w:tcPr>
          <w:p w14:paraId="51E7E78A" w14:textId="77777777" w:rsidR="00764108" w:rsidRPr="001735C7" w:rsidRDefault="00764108" w:rsidP="003F27D0">
            <w:pPr>
              <w:spacing w:after="0"/>
              <w:rPr>
                <w:b/>
              </w:rPr>
            </w:pPr>
            <w:r w:rsidRPr="001735C7">
              <w:rPr>
                <w:b/>
              </w:rPr>
              <w:t>Expressions</w:t>
            </w:r>
          </w:p>
        </w:tc>
        <w:tc>
          <w:tcPr>
            <w:tcW w:w="6386" w:type="dxa"/>
            <w:tcBorders>
              <w:top w:val="nil"/>
              <w:left w:val="nil"/>
              <w:bottom w:val="nil"/>
              <w:right w:val="nil"/>
            </w:tcBorders>
          </w:tcPr>
          <w:p w14:paraId="48AA6928" w14:textId="77777777" w:rsidR="00764108" w:rsidRPr="001735C7" w:rsidRDefault="00764108" w:rsidP="003F27D0">
            <w:pPr>
              <w:spacing w:after="0"/>
              <w:rPr>
                <w:b/>
              </w:rPr>
            </w:pPr>
            <w:r w:rsidRPr="001735C7">
              <w:rPr>
                <w:b/>
              </w:rPr>
              <w:t>Meanings</w:t>
            </w:r>
          </w:p>
        </w:tc>
      </w:tr>
      <w:tr w:rsidR="00764108" w:rsidRPr="001735C7" w14:paraId="571025B8" w14:textId="77777777" w:rsidTr="00036E6D">
        <w:trPr>
          <w:cantSplit/>
        </w:trPr>
        <w:tc>
          <w:tcPr>
            <w:tcW w:w="1977" w:type="dxa"/>
            <w:tcBorders>
              <w:top w:val="nil"/>
              <w:left w:val="nil"/>
              <w:bottom w:val="nil"/>
              <w:right w:val="nil"/>
            </w:tcBorders>
          </w:tcPr>
          <w:p w14:paraId="714977B3" w14:textId="77777777" w:rsidR="00764108" w:rsidRPr="001735C7" w:rsidRDefault="00764108" w:rsidP="00436D84">
            <w:pPr>
              <w:pStyle w:val="definitions"/>
              <w:keepNext/>
              <w:jc w:val="both"/>
              <w:rPr>
                <w:rFonts w:ascii="Arial Narrow" w:hAnsi="Arial Narrow"/>
                <w:color w:val="000000"/>
                <w:sz w:val="18"/>
                <w:szCs w:val="18"/>
                <w:lang w:val="en-AU"/>
              </w:rPr>
            </w:pPr>
          </w:p>
        </w:tc>
        <w:tc>
          <w:tcPr>
            <w:tcW w:w="6386" w:type="dxa"/>
            <w:tcBorders>
              <w:top w:val="nil"/>
              <w:left w:val="nil"/>
              <w:bottom w:val="nil"/>
              <w:right w:val="nil"/>
            </w:tcBorders>
          </w:tcPr>
          <w:p w14:paraId="2A81F7E7" w14:textId="77777777" w:rsidR="00764108" w:rsidRPr="001735C7" w:rsidRDefault="00764108" w:rsidP="00436D84">
            <w:pPr>
              <w:keepNext/>
              <w:spacing w:after="0"/>
              <w:rPr>
                <w:color w:val="000000"/>
                <w:sz w:val="18"/>
                <w:szCs w:val="18"/>
              </w:rPr>
            </w:pPr>
          </w:p>
        </w:tc>
      </w:tr>
      <w:tr w:rsidR="00764108" w:rsidRPr="001735C7" w14:paraId="612D461B" w14:textId="77777777" w:rsidTr="00036E6D">
        <w:trPr>
          <w:cantSplit/>
        </w:trPr>
        <w:tc>
          <w:tcPr>
            <w:tcW w:w="1977" w:type="dxa"/>
            <w:tcBorders>
              <w:top w:val="nil"/>
              <w:left w:val="nil"/>
              <w:bottom w:val="nil"/>
              <w:right w:val="nil"/>
            </w:tcBorders>
          </w:tcPr>
          <w:p w14:paraId="2183E4A7" w14:textId="77777777" w:rsidR="00764108" w:rsidRPr="001735C7" w:rsidRDefault="00764108" w:rsidP="00436D84">
            <w:pPr>
              <w:pStyle w:val="definitions"/>
              <w:jc w:val="both"/>
              <w:rPr>
                <w:rFonts w:ascii="Arial Narrow" w:hAnsi="Arial Narrow"/>
                <w:color w:val="000000"/>
                <w:lang w:val="en-AU"/>
              </w:rPr>
            </w:pPr>
            <w:r w:rsidRPr="001735C7">
              <w:rPr>
                <w:rFonts w:ascii="Arial Narrow" w:hAnsi="Arial Narrow"/>
                <w:color w:val="000000"/>
                <w:lang w:val="en-AU"/>
              </w:rPr>
              <w:t>agreement</w:t>
            </w:r>
          </w:p>
        </w:tc>
        <w:tc>
          <w:tcPr>
            <w:tcW w:w="6386" w:type="dxa"/>
            <w:tcBorders>
              <w:top w:val="nil"/>
              <w:left w:val="nil"/>
              <w:bottom w:val="nil"/>
              <w:right w:val="nil"/>
            </w:tcBorders>
          </w:tcPr>
          <w:p w14:paraId="5BE7A838" w14:textId="77777777" w:rsidR="00764108" w:rsidRPr="001735C7" w:rsidRDefault="00764108" w:rsidP="00436D84">
            <w:pPr>
              <w:spacing w:after="0"/>
              <w:rPr>
                <w:color w:val="000000"/>
              </w:rPr>
            </w:pPr>
            <w:r w:rsidRPr="001735C7">
              <w:rPr>
                <w:color w:val="000000"/>
              </w:rPr>
              <w:t>this agreement for use of the electronic lodgement facility and entity details facility, including the ASX policy requirements</w:t>
            </w:r>
          </w:p>
        </w:tc>
      </w:tr>
      <w:tr w:rsidR="00764108" w:rsidRPr="001735C7" w14:paraId="24550251" w14:textId="77777777" w:rsidTr="00036E6D">
        <w:trPr>
          <w:cantSplit/>
        </w:trPr>
        <w:tc>
          <w:tcPr>
            <w:tcW w:w="1977" w:type="dxa"/>
            <w:tcBorders>
              <w:top w:val="nil"/>
              <w:left w:val="nil"/>
              <w:bottom w:val="nil"/>
              <w:right w:val="nil"/>
            </w:tcBorders>
          </w:tcPr>
          <w:p w14:paraId="20E76AE1" w14:textId="77777777" w:rsidR="00764108" w:rsidRPr="001735C7" w:rsidRDefault="00764108" w:rsidP="007C4023">
            <w:pPr>
              <w:pStyle w:val="definitions"/>
              <w:jc w:val="both"/>
              <w:rPr>
                <w:rFonts w:ascii="Arial Narrow" w:hAnsi="Arial Narrow"/>
                <w:color w:val="000000"/>
                <w:sz w:val="18"/>
                <w:szCs w:val="18"/>
                <w:lang w:val="en-AU"/>
              </w:rPr>
            </w:pPr>
          </w:p>
        </w:tc>
        <w:tc>
          <w:tcPr>
            <w:tcW w:w="6386" w:type="dxa"/>
            <w:tcBorders>
              <w:top w:val="nil"/>
              <w:left w:val="nil"/>
              <w:bottom w:val="nil"/>
              <w:right w:val="nil"/>
            </w:tcBorders>
          </w:tcPr>
          <w:p w14:paraId="68FBF0E2" w14:textId="77777777" w:rsidR="00764108" w:rsidRPr="001735C7" w:rsidRDefault="00764108" w:rsidP="007C4023">
            <w:pPr>
              <w:pStyle w:val="definitions"/>
              <w:jc w:val="both"/>
              <w:rPr>
                <w:rFonts w:ascii="Arial Narrow" w:hAnsi="Arial Narrow"/>
                <w:color w:val="000000"/>
                <w:sz w:val="18"/>
                <w:szCs w:val="18"/>
                <w:lang w:val="en-AU"/>
              </w:rPr>
            </w:pPr>
          </w:p>
        </w:tc>
      </w:tr>
      <w:tr w:rsidR="00764108" w:rsidRPr="001735C7" w14:paraId="619B52C1" w14:textId="77777777" w:rsidTr="00036E6D">
        <w:trPr>
          <w:cantSplit/>
        </w:trPr>
        <w:tc>
          <w:tcPr>
            <w:tcW w:w="1977" w:type="dxa"/>
            <w:tcBorders>
              <w:top w:val="nil"/>
              <w:left w:val="nil"/>
              <w:bottom w:val="nil"/>
              <w:right w:val="nil"/>
            </w:tcBorders>
          </w:tcPr>
          <w:p w14:paraId="6C46ACB3" w14:textId="77777777" w:rsidR="00764108" w:rsidRPr="001735C7" w:rsidRDefault="00764108" w:rsidP="00E04AEC">
            <w:pPr>
              <w:pStyle w:val="definitions"/>
              <w:rPr>
                <w:rFonts w:ascii="Arial Narrow" w:hAnsi="Arial Narrow"/>
                <w:color w:val="000000"/>
                <w:lang w:val="en-AU"/>
              </w:rPr>
            </w:pPr>
            <w:r w:rsidRPr="001735C7">
              <w:rPr>
                <w:rFonts w:ascii="Arial Narrow" w:hAnsi="Arial Narrow"/>
                <w:color w:val="000000"/>
                <w:lang w:val="en-AU"/>
              </w:rPr>
              <w:lastRenderedPageBreak/>
              <w:t>ASIC</w:t>
            </w:r>
          </w:p>
        </w:tc>
        <w:tc>
          <w:tcPr>
            <w:tcW w:w="6386" w:type="dxa"/>
            <w:tcBorders>
              <w:top w:val="nil"/>
              <w:left w:val="nil"/>
              <w:bottom w:val="nil"/>
              <w:right w:val="nil"/>
            </w:tcBorders>
          </w:tcPr>
          <w:p w14:paraId="6E5C2F9B" w14:textId="77777777" w:rsidR="00764108" w:rsidRPr="001735C7" w:rsidRDefault="00764108" w:rsidP="00436D84">
            <w:pPr>
              <w:spacing w:after="0"/>
              <w:rPr>
                <w:color w:val="000000"/>
              </w:rPr>
            </w:pPr>
            <w:r w:rsidRPr="001735C7">
              <w:rPr>
                <w:color w:val="000000"/>
              </w:rPr>
              <w:t>Australian Securities and Investments Commission</w:t>
            </w:r>
          </w:p>
        </w:tc>
      </w:tr>
      <w:tr w:rsidR="00764108" w:rsidRPr="001735C7" w14:paraId="6EE16F3E" w14:textId="77777777" w:rsidTr="00036E6D">
        <w:trPr>
          <w:cantSplit/>
        </w:trPr>
        <w:tc>
          <w:tcPr>
            <w:tcW w:w="1977" w:type="dxa"/>
            <w:tcBorders>
              <w:top w:val="nil"/>
              <w:left w:val="nil"/>
              <w:bottom w:val="nil"/>
              <w:right w:val="nil"/>
            </w:tcBorders>
          </w:tcPr>
          <w:p w14:paraId="1EC2A349" w14:textId="77777777" w:rsidR="00764108" w:rsidRPr="001735C7" w:rsidRDefault="00764108" w:rsidP="007C4023">
            <w:pPr>
              <w:pStyle w:val="definitions"/>
              <w:jc w:val="both"/>
              <w:rPr>
                <w:rFonts w:ascii="Arial Narrow" w:hAnsi="Arial Narrow"/>
                <w:color w:val="000000"/>
                <w:sz w:val="18"/>
                <w:szCs w:val="18"/>
                <w:lang w:val="en-AU"/>
              </w:rPr>
            </w:pPr>
          </w:p>
        </w:tc>
        <w:tc>
          <w:tcPr>
            <w:tcW w:w="6386" w:type="dxa"/>
            <w:tcBorders>
              <w:top w:val="nil"/>
              <w:left w:val="nil"/>
              <w:bottom w:val="nil"/>
              <w:right w:val="nil"/>
            </w:tcBorders>
          </w:tcPr>
          <w:p w14:paraId="2BFEF3F3" w14:textId="77777777" w:rsidR="00764108" w:rsidRPr="001735C7" w:rsidRDefault="00764108" w:rsidP="007C4023">
            <w:pPr>
              <w:pStyle w:val="definitions"/>
              <w:jc w:val="both"/>
              <w:rPr>
                <w:rFonts w:ascii="Arial Narrow" w:hAnsi="Arial Narrow"/>
                <w:color w:val="000000"/>
                <w:sz w:val="18"/>
                <w:szCs w:val="18"/>
                <w:lang w:val="en-AU"/>
              </w:rPr>
            </w:pPr>
          </w:p>
        </w:tc>
      </w:tr>
      <w:tr w:rsidR="00764108" w:rsidRPr="001735C7" w14:paraId="7C1F977F" w14:textId="77777777" w:rsidTr="00036E6D">
        <w:trPr>
          <w:cantSplit/>
        </w:trPr>
        <w:tc>
          <w:tcPr>
            <w:tcW w:w="1977" w:type="dxa"/>
            <w:tcBorders>
              <w:top w:val="nil"/>
              <w:left w:val="nil"/>
              <w:bottom w:val="nil"/>
              <w:right w:val="nil"/>
            </w:tcBorders>
          </w:tcPr>
          <w:p w14:paraId="59757FAE" w14:textId="77777777" w:rsidR="00764108" w:rsidRPr="001735C7" w:rsidRDefault="00764108" w:rsidP="00E04AEC">
            <w:pPr>
              <w:pStyle w:val="definitions"/>
              <w:rPr>
                <w:rFonts w:ascii="Arial Narrow" w:hAnsi="Arial Narrow"/>
                <w:color w:val="000000"/>
                <w:lang w:val="en-AU"/>
              </w:rPr>
            </w:pPr>
            <w:r w:rsidRPr="001735C7">
              <w:rPr>
                <w:rFonts w:ascii="Arial Narrow" w:hAnsi="Arial Narrow"/>
                <w:color w:val="000000"/>
                <w:lang w:val="en-AU"/>
              </w:rPr>
              <w:t>ASX</w:t>
            </w:r>
          </w:p>
        </w:tc>
        <w:tc>
          <w:tcPr>
            <w:tcW w:w="6386" w:type="dxa"/>
            <w:tcBorders>
              <w:top w:val="nil"/>
              <w:left w:val="nil"/>
              <w:bottom w:val="nil"/>
              <w:right w:val="nil"/>
            </w:tcBorders>
          </w:tcPr>
          <w:p w14:paraId="0BB00E41" w14:textId="77777777" w:rsidR="00764108" w:rsidRPr="001735C7" w:rsidRDefault="00764108" w:rsidP="00436D84">
            <w:pPr>
              <w:spacing w:after="0"/>
              <w:rPr>
                <w:color w:val="000000"/>
              </w:rPr>
            </w:pPr>
            <w:r w:rsidRPr="001735C7">
              <w:rPr>
                <w:color w:val="000000"/>
              </w:rPr>
              <w:t>ASX Limited, ACN 008 624 691</w:t>
            </w:r>
          </w:p>
        </w:tc>
      </w:tr>
      <w:tr w:rsidR="00764108" w:rsidRPr="001735C7" w14:paraId="22955354" w14:textId="77777777" w:rsidTr="00036E6D">
        <w:trPr>
          <w:cantSplit/>
        </w:trPr>
        <w:tc>
          <w:tcPr>
            <w:tcW w:w="1977" w:type="dxa"/>
            <w:tcBorders>
              <w:top w:val="nil"/>
              <w:left w:val="nil"/>
              <w:bottom w:val="nil"/>
              <w:right w:val="nil"/>
            </w:tcBorders>
          </w:tcPr>
          <w:p w14:paraId="6303D2B4" w14:textId="77777777" w:rsidR="00764108" w:rsidRPr="001735C7" w:rsidRDefault="00764108" w:rsidP="007C4023">
            <w:pPr>
              <w:pStyle w:val="definitions"/>
              <w:jc w:val="both"/>
              <w:rPr>
                <w:rFonts w:ascii="Arial Narrow" w:hAnsi="Arial Narrow"/>
                <w:color w:val="000000"/>
                <w:sz w:val="18"/>
                <w:szCs w:val="18"/>
                <w:lang w:val="en-AU"/>
              </w:rPr>
            </w:pPr>
          </w:p>
        </w:tc>
        <w:tc>
          <w:tcPr>
            <w:tcW w:w="6386" w:type="dxa"/>
            <w:tcBorders>
              <w:top w:val="nil"/>
              <w:left w:val="nil"/>
              <w:bottom w:val="nil"/>
              <w:right w:val="nil"/>
            </w:tcBorders>
          </w:tcPr>
          <w:p w14:paraId="24B72F11" w14:textId="77777777" w:rsidR="00764108" w:rsidRPr="001735C7" w:rsidRDefault="00764108" w:rsidP="007C4023">
            <w:pPr>
              <w:pStyle w:val="definitions"/>
              <w:jc w:val="both"/>
              <w:rPr>
                <w:rFonts w:ascii="Arial Narrow" w:hAnsi="Arial Narrow"/>
                <w:color w:val="000000"/>
                <w:sz w:val="18"/>
                <w:szCs w:val="18"/>
                <w:lang w:val="en-AU"/>
              </w:rPr>
            </w:pPr>
          </w:p>
        </w:tc>
      </w:tr>
      <w:tr w:rsidR="00764108" w:rsidRPr="001735C7" w14:paraId="3CFE22B0" w14:textId="77777777" w:rsidTr="00036E6D">
        <w:trPr>
          <w:cantSplit/>
        </w:trPr>
        <w:tc>
          <w:tcPr>
            <w:tcW w:w="1977" w:type="dxa"/>
            <w:tcBorders>
              <w:top w:val="nil"/>
              <w:left w:val="nil"/>
              <w:bottom w:val="nil"/>
              <w:right w:val="nil"/>
            </w:tcBorders>
          </w:tcPr>
          <w:p w14:paraId="55AA812D" w14:textId="77777777" w:rsidR="00764108" w:rsidRPr="001735C7" w:rsidRDefault="00764108" w:rsidP="00E04AEC">
            <w:pPr>
              <w:pStyle w:val="definitions"/>
              <w:rPr>
                <w:rFonts w:ascii="Arial Narrow" w:hAnsi="Arial Narrow"/>
                <w:color w:val="000000"/>
                <w:lang w:val="en-AU"/>
              </w:rPr>
            </w:pPr>
            <w:r w:rsidRPr="001735C7">
              <w:rPr>
                <w:rFonts w:ascii="Arial Narrow" w:hAnsi="Arial Narrow"/>
                <w:color w:val="000000"/>
                <w:lang w:val="en-AU"/>
              </w:rPr>
              <w:t>ASX policy requirements</w:t>
            </w:r>
          </w:p>
        </w:tc>
        <w:tc>
          <w:tcPr>
            <w:tcW w:w="6386" w:type="dxa"/>
            <w:tcBorders>
              <w:top w:val="nil"/>
              <w:left w:val="nil"/>
              <w:bottom w:val="nil"/>
              <w:right w:val="nil"/>
            </w:tcBorders>
          </w:tcPr>
          <w:p w14:paraId="092A7604" w14:textId="77777777" w:rsidR="00764108" w:rsidRPr="001735C7" w:rsidRDefault="00764108" w:rsidP="00436D84">
            <w:pPr>
              <w:spacing w:after="0"/>
              <w:rPr>
                <w:color w:val="000000"/>
              </w:rPr>
            </w:pPr>
            <w:r w:rsidRPr="001735C7">
              <w:rPr>
                <w:color w:val="000000"/>
              </w:rPr>
              <w:t>the document described as “ASX policy requirements” available on the ASX web site which further outlines our obligations. ASX may amend this document from time to time by publishing notice of the variation on the ASX web site</w:t>
            </w:r>
          </w:p>
        </w:tc>
      </w:tr>
      <w:tr w:rsidR="00764108" w:rsidRPr="001735C7" w14:paraId="380D8C05" w14:textId="77777777" w:rsidTr="00036E6D">
        <w:trPr>
          <w:cantSplit/>
        </w:trPr>
        <w:tc>
          <w:tcPr>
            <w:tcW w:w="1977" w:type="dxa"/>
            <w:tcBorders>
              <w:top w:val="nil"/>
              <w:left w:val="nil"/>
              <w:bottom w:val="nil"/>
              <w:right w:val="nil"/>
            </w:tcBorders>
          </w:tcPr>
          <w:p w14:paraId="7C858C5B" w14:textId="77777777" w:rsidR="00764108" w:rsidRPr="001735C7" w:rsidRDefault="00764108" w:rsidP="007C4023">
            <w:pPr>
              <w:pStyle w:val="definitions"/>
              <w:jc w:val="both"/>
              <w:rPr>
                <w:rFonts w:ascii="Arial Narrow" w:hAnsi="Arial Narrow"/>
                <w:color w:val="000000"/>
                <w:sz w:val="18"/>
                <w:szCs w:val="18"/>
                <w:lang w:val="en-AU"/>
              </w:rPr>
            </w:pPr>
          </w:p>
        </w:tc>
        <w:tc>
          <w:tcPr>
            <w:tcW w:w="6386" w:type="dxa"/>
            <w:tcBorders>
              <w:top w:val="nil"/>
              <w:left w:val="nil"/>
              <w:bottom w:val="nil"/>
              <w:right w:val="nil"/>
            </w:tcBorders>
          </w:tcPr>
          <w:p w14:paraId="2A6677C5" w14:textId="77777777" w:rsidR="00764108" w:rsidRPr="001735C7" w:rsidRDefault="00764108" w:rsidP="007C4023">
            <w:pPr>
              <w:pStyle w:val="definitions"/>
              <w:jc w:val="both"/>
              <w:rPr>
                <w:rFonts w:ascii="Arial Narrow" w:hAnsi="Arial Narrow"/>
                <w:color w:val="000000"/>
                <w:sz w:val="18"/>
                <w:szCs w:val="18"/>
                <w:lang w:val="en-AU"/>
              </w:rPr>
            </w:pPr>
          </w:p>
        </w:tc>
      </w:tr>
      <w:tr w:rsidR="00764108" w:rsidRPr="001735C7" w14:paraId="398E58C7" w14:textId="77777777" w:rsidTr="00036E6D">
        <w:trPr>
          <w:cantSplit/>
        </w:trPr>
        <w:tc>
          <w:tcPr>
            <w:tcW w:w="1977" w:type="dxa"/>
            <w:tcBorders>
              <w:top w:val="nil"/>
              <w:left w:val="nil"/>
              <w:bottom w:val="nil"/>
              <w:right w:val="nil"/>
            </w:tcBorders>
          </w:tcPr>
          <w:p w14:paraId="7AC17248" w14:textId="77777777" w:rsidR="00764108" w:rsidRPr="001735C7" w:rsidRDefault="00764108" w:rsidP="00E04AEC">
            <w:pPr>
              <w:spacing w:after="0"/>
              <w:jc w:val="left"/>
              <w:rPr>
                <w:color w:val="000000"/>
              </w:rPr>
            </w:pPr>
            <w:r w:rsidRPr="001735C7">
              <w:rPr>
                <w:color w:val="000000"/>
              </w:rPr>
              <w:t>ASX web site</w:t>
            </w:r>
          </w:p>
        </w:tc>
        <w:tc>
          <w:tcPr>
            <w:tcW w:w="6386" w:type="dxa"/>
            <w:tcBorders>
              <w:top w:val="nil"/>
              <w:left w:val="nil"/>
              <w:bottom w:val="nil"/>
              <w:right w:val="nil"/>
            </w:tcBorders>
          </w:tcPr>
          <w:p w14:paraId="6A4A2585" w14:textId="77777777" w:rsidR="00764108" w:rsidRPr="001735C7" w:rsidRDefault="00764108" w:rsidP="00436D84">
            <w:pPr>
              <w:spacing w:after="0"/>
              <w:rPr>
                <w:color w:val="000000"/>
              </w:rPr>
            </w:pPr>
            <w:r w:rsidRPr="001735C7">
              <w:rPr>
                <w:color w:val="000000"/>
              </w:rPr>
              <w:t>means the web site at the address https:// www.asxonline.com or such other address as notified by ASX</w:t>
            </w:r>
          </w:p>
        </w:tc>
      </w:tr>
      <w:tr w:rsidR="00764108" w:rsidRPr="001735C7" w14:paraId="7E5FCEF2" w14:textId="77777777" w:rsidTr="00036E6D">
        <w:trPr>
          <w:cantSplit/>
        </w:trPr>
        <w:tc>
          <w:tcPr>
            <w:tcW w:w="1977" w:type="dxa"/>
            <w:tcBorders>
              <w:top w:val="nil"/>
              <w:left w:val="nil"/>
              <w:bottom w:val="nil"/>
              <w:right w:val="nil"/>
            </w:tcBorders>
          </w:tcPr>
          <w:p w14:paraId="24F08EA1" w14:textId="77777777" w:rsidR="00764108" w:rsidRPr="001735C7" w:rsidRDefault="00764108" w:rsidP="007C4023">
            <w:pPr>
              <w:pStyle w:val="definitions"/>
              <w:jc w:val="both"/>
              <w:rPr>
                <w:rFonts w:ascii="Arial Narrow" w:hAnsi="Arial Narrow"/>
                <w:color w:val="000000"/>
                <w:sz w:val="18"/>
                <w:szCs w:val="18"/>
                <w:lang w:val="en-AU"/>
              </w:rPr>
            </w:pPr>
          </w:p>
        </w:tc>
        <w:tc>
          <w:tcPr>
            <w:tcW w:w="6386" w:type="dxa"/>
            <w:tcBorders>
              <w:top w:val="nil"/>
              <w:left w:val="nil"/>
              <w:bottom w:val="nil"/>
              <w:right w:val="nil"/>
            </w:tcBorders>
          </w:tcPr>
          <w:p w14:paraId="3B9C8324" w14:textId="77777777" w:rsidR="00764108" w:rsidRPr="001735C7" w:rsidRDefault="00764108" w:rsidP="007C4023">
            <w:pPr>
              <w:pStyle w:val="definitions"/>
              <w:jc w:val="both"/>
              <w:rPr>
                <w:rFonts w:ascii="Arial Narrow" w:hAnsi="Arial Narrow"/>
                <w:color w:val="000000"/>
                <w:sz w:val="18"/>
                <w:szCs w:val="18"/>
                <w:lang w:val="en-AU"/>
              </w:rPr>
            </w:pPr>
          </w:p>
        </w:tc>
      </w:tr>
      <w:tr w:rsidR="00764108" w:rsidRPr="001735C7" w14:paraId="4F26BE34" w14:textId="77777777" w:rsidTr="00036E6D">
        <w:trPr>
          <w:cantSplit/>
        </w:trPr>
        <w:tc>
          <w:tcPr>
            <w:tcW w:w="1977" w:type="dxa"/>
            <w:tcBorders>
              <w:top w:val="nil"/>
              <w:left w:val="nil"/>
              <w:bottom w:val="nil"/>
              <w:right w:val="nil"/>
            </w:tcBorders>
          </w:tcPr>
          <w:p w14:paraId="3C931612" w14:textId="77777777" w:rsidR="00764108" w:rsidRPr="001735C7" w:rsidRDefault="00764108" w:rsidP="00E04AEC">
            <w:pPr>
              <w:pStyle w:val="definitions"/>
              <w:rPr>
                <w:rFonts w:ascii="Arial Narrow" w:hAnsi="Arial Narrow"/>
                <w:color w:val="000000"/>
                <w:lang w:val="en-AU"/>
              </w:rPr>
            </w:pPr>
            <w:r w:rsidRPr="001735C7">
              <w:rPr>
                <w:rFonts w:ascii="Arial Narrow" w:hAnsi="Arial Narrow"/>
                <w:color w:val="000000"/>
                <w:lang w:val="en-AU"/>
              </w:rPr>
              <w:t>authentication procedures</w:t>
            </w:r>
          </w:p>
        </w:tc>
        <w:tc>
          <w:tcPr>
            <w:tcW w:w="6386" w:type="dxa"/>
            <w:tcBorders>
              <w:top w:val="nil"/>
              <w:left w:val="nil"/>
              <w:bottom w:val="nil"/>
              <w:right w:val="nil"/>
            </w:tcBorders>
          </w:tcPr>
          <w:p w14:paraId="71C289A0" w14:textId="77777777" w:rsidR="00764108" w:rsidRPr="001735C7" w:rsidRDefault="00764108" w:rsidP="00436D84">
            <w:pPr>
              <w:spacing w:after="0"/>
              <w:rPr>
                <w:color w:val="000000"/>
              </w:rPr>
            </w:pPr>
            <w:r w:rsidRPr="001735C7">
              <w:rPr>
                <w:color w:val="000000"/>
              </w:rPr>
              <w:t>the procedures set out in the ASX policy requirements for ensuring secure use of the electronic lodg</w:t>
            </w:r>
            <w:r w:rsidR="000B63E9">
              <w:rPr>
                <w:color w:val="000000"/>
              </w:rPr>
              <w:t>e</w:t>
            </w:r>
            <w:r w:rsidRPr="001735C7">
              <w:rPr>
                <w:color w:val="000000"/>
              </w:rPr>
              <w:t>ment facility and the entity details facility</w:t>
            </w:r>
          </w:p>
        </w:tc>
      </w:tr>
      <w:tr w:rsidR="00764108" w:rsidRPr="001735C7" w14:paraId="182BE534" w14:textId="77777777" w:rsidTr="00036E6D">
        <w:trPr>
          <w:cantSplit/>
        </w:trPr>
        <w:tc>
          <w:tcPr>
            <w:tcW w:w="1977" w:type="dxa"/>
            <w:tcBorders>
              <w:top w:val="nil"/>
              <w:left w:val="nil"/>
              <w:bottom w:val="nil"/>
              <w:right w:val="nil"/>
            </w:tcBorders>
          </w:tcPr>
          <w:p w14:paraId="1C5BAD21" w14:textId="77777777" w:rsidR="00764108" w:rsidRPr="001735C7" w:rsidRDefault="00764108" w:rsidP="007C4023">
            <w:pPr>
              <w:pStyle w:val="definitions"/>
              <w:jc w:val="both"/>
              <w:rPr>
                <w:rFonts w:ascii="Arial Narrow" w:hAnsi="Arial Narrow"/>
                <w:color w:val="000000"/>
                <w:sz w:val="18"/>
                <w:szCs w:val="18"/>
                <w:lang w:val="en-AU"/>
              </w:rPr>
            </w:pPr>
          </w:p>
        </w:tc>
        <w:tc>
          <w:tcPr>
            <w:tcW w:w="6386" w:type="dxa"/>
            <w:tcBorders>
              <w:top w:val="nil"/>
              <w:left w:val="nil"/>
              <w:bottom w:val="nil"/>
              <w:right w:val="nil"/>
            </w:tcBorders>
          </w:tcPr>
          <w:p w14:paraId="040D9579" w14:textId="77777777" w:rsidR="00764108" w:rsidRPr="001735C7" w:rsidRDefault="00764108" w:rsidP="007C4023">
            <w:pPr>
              <w:pStyle w:val="definitions"/>
              <w:jc w:val="both"/>
              <w:rPr>
                <w:rFonts w:ascii="Arial Narrow" w:hAnsi="Arial Narrow"/>
                <w:color w:val="000000"/>
                <w:sz w:val="18"/>
                <w:szCs w:val="18"/>
                <w:lang w:val="en-AU"/>
              </w:rPr>
            </w:pPr>
          </w:p>
        </w:tc>
      </w:tr>
      <w:tr w:rsidR="00764108" w:rsidRPr="001735C7" w14:paraId="027CB523" w14:textId="77777777" w:rsidTr="00036E6D">
        <w:trPr>
          <w:cantSplit/>
        </w:trPr>
        <w:tc>
          <w:tcPr>
            <w:tcW w:w="1977" w:type="dxa"/>
            <w:tcBorders>
              <w:top w:val="nil"/>
              <w:left w:val="nil"/>
              <w:bottom w:val="nil"/>
              <w:right w:val="nil"/>
            </w:tcBorders>
          </w:tcPr>
          <w:p w14:paraId="6704AFBD" w14:textId="77777777" w:rsidR="00764108" w:rsidRPr="001735C7" w:rsidRDefault="00764108" w:rsidP="00E04AEC">
            <w:pPr>
              <w:pStyle w:val="definitions"/>
              <w:rPr>
                <w:rFonts w:ascii="Arial Narrow" w:hAnsi="Arial Narrow"/>
                <w:color w:val="000000"/>
                <w:lang w:val="en-AU"/>
              </w:rPr>
            </w:pPr>
            <w:r w:rsidRPr="001735C7">
              <w:rPr>
                <w:rFonts w:ascii="Arial Narrow" w:hAnsi="Arial Narrow"/>
                <w:color w:val="000000"/>
                <w:lang w:val="en-AU"/>
              </w:rPr>
              <w:t>electronic document</w:t>
            </w:r>
          </w:p>
        </w:tc>
        <w:tc>
          <w:tcPr>
            <w:tcW w:w="6386" w:type="dxa"/>
            <w:tcBorders>
              <w:top w:val="nil"/>
              <w:left w:val="nil"/>
              <w:bottom w:val="nil"/>
              <w:right w:val="nil"/>
            </w:tcBorders>
          </w:tcPr>
          <w:p w14:paraId="39D6DA2D" w14:textId="77777777" w:rsidR="00764108" w:rsidRPr="001735C7" w:rsidRDefault="00764108" w:rsidP="001E0C61">
            <w:pPr>
              <w:spacing w:after="0"/>
              <w:rPr>
                <w:color w:val="000000"/>
              </w:rPr>
            </w:pPr>
            <w:r w:rsidRPr="001735C7">
              <w:rPr>
                <w:color w:val="000000"/>
              </w:rPr>
              <w:t>a document in the form of a digital representation of information generated, sent, received or stored by electronic, optical or similar means, but excluding a facsimile.</w:t>
            </w:r>
          </w:p>
        </w:tc>
      </w:tr>
      <w:tr w:rsidR="00764108" w:rsidRPr="001735C7" w14:paraId="275EBC8E" w14:textId="77777777" w:rsidTr="00036E6D">
        <w:trPr>
          <w:cantSplit/>
        </w:trPr>
        <w:tc>
          <w:tcPr>
            <w:tcW w:w="1977" w:type="dxa"/>
            <w:tcBorders>
              <w:top w:val="nil"/>
              <w:left w:val="nil"/>
              <w:bottom w:val="nil"/>
              <w:right w:val="nil"/>
            </w:tcBorders>
          </w:tcPr>
          <w:p w14:paraId="053DA974" w14:textId="77777777" w:rsidR="00764108" w:rsidRPr="001735C7" w:rsidRDefault="00764108" w:rsidP="007C4023">
            <w:pPr>
              <w:pStyle w:val="definitions"/>
              <w:jc w:val="both"/>
              <w:rPr>
                <w:rFonts w:ascii="Arial Narrow" w:hAnsi="Arial Narrow"/>
                <w:color w:val="000000"/>
                <w:sz w:val="18"/>
                <w:szCs w:val="18"/>
                <w:lang w:val="en-AU"/>
              </w:rPr>
            </w:pPr>
          </w:p>
        </w:tc>
        <w:tc>
          <w:tcPr>
            <w:tcW w:w="6386" w:type="dxa"/>
            <w:tcBorders>
              <w:top w:val="nil"/>
              <w:left w:val="nil"/>
              <w:bottom w:val="nil"/>
              <w:right w:val="nil"/>
            </w:tcBorders>
          </w:tcPr>
          <w:p w14:paraId="299A814A" w14:textId="77777777" w:rsidR="00764108" w:rsidRPr="001735C7" w:rsidRDefault="00764108" w:rsidP="007C4023">
            <w:pPr>
              <w:pStyle w:val="definitions"/>
              <w:jc w:val="both"/>
              <w:rPr>
                <w:rFonts w:ascii="Arial Narrow" w:hAnsi="Arial Narrow"/>
                <w:color w:val="000000"/>
                <w:sz w:val="18"/>
                <w:szCs w:val="18"/>
                <w:lang w:val="en-AU"/>
              </w:rPr>
            </w:pPr>
          </w:p>
        </w:tc>
      </w:tr>
      <w:tr w:rsidR="00764108" w:rsidRPr="001735C7" w14:paraId="31564D1B" w14:textId="77777777" w:rsidTr="00036E6D">
        <w:trPr>
          <w:cantSplit/>
        </w:trPr>
        <w:tc>
          <w:tcPr>
            <w:tcW w:w="1977" w:type="dxa"/>
            <w:tcBorders>
              <w:top w:val="nil"/>
              <w:left w:val="nil"/>
              <w:bottom w:val="nil"/>
              <w:right w:val="nil"/>
            </w:tcBorders>
          </w:tcPr>
          <w:p w14:paraId="78746584" w14:textId="77777777" w:rsidR="00764108" w:rsidRPr="001735C7" w:rsidRDefault="00764108" w:rsidP="00E04AEC">
            <w:pPr>
              <w:pStyle w:val="definitions"/>
              <w:rPr>
                <w:rFonts w:ascii="Arial Narrow" w:hAnsi="Arial Narrow"/>
                <w:color w:val="000000"/>
                <w:lang w:val="en-AU"/>
              </w:rPr>
            </w:pPr>
            <w:r w:rsidRPr="001735C7">
              <w:rPr>
                <w:rFonts w:ascii="Arial Narrow" w:hAnsi="Arial Narrow"/>
                <w:color w:val="000000"/>
                <w:lang w:val="en-AU"/>
              </w:rPr>
              <w:t>electronic lodgement facility</w:t>
            </w:r>
          </w:p>
        </w:tc>
        <w:tc>
          <w:tcPr>
            <w:tcW w:w="6386" w:type="dxa"/>
            <w:tcBorders>
              <w:top w:val="nil"/>
              <w:left w:val="nil"/>
              <w:bottom w:val="nil"/>
              <w:right w:val="nil"/>
            </w:tcBorders>
          </w:tcPr>
          <w:p w14:paraId="24677DEA" w14:textId="77777777" w:rsidR="00764108" w:rsidRPr="001735C7" w:rsidRDefault="00764108" w:rsidP="000F37B2">
            <w:pPr>
              <w:spacing w:after="0"/>
              <w:rPr>
                <w:color w:val="000000"/>
              </w:rPr>
            </w:pPr>
            <w:r w:rsidRPr="001735C7">
              <w:rPr>
                <w:color w:val="000000"/>
              </w:rPr>
              <w:t>the facility which enables a listed entity</w:t>
            </w:r>
            <w:r w:rsidR="00F534F8" w:rsidRPr="00F534F8">
              <w:rPr>
                <w:color w:val="000000"/>
              </w:rPr>
              <w:t>, AQUA Product Issuer or Warrant-Issuer (as applicable)</w:t>
            </w:r>
            <w:r w:rsidRPr="001735C7">
              <w:rPr>
                <w:color w:val="000000"/>
              </w:rPr>
              <w:t xml:space="preserve"> to transmit electronic documents to ASX in accordance with the ASX policy requirements available at https://www.asxonline.com or such other address as notified by ASX</w:t>
            </w:r>
          </w:p>
        </w:tc>
      </w:tr>
      <w:tr w:rsidR="00764108" w:rsidRPr="001735C7" w14:paraId="5D653497" w14:textId="77777777" w:rsidTr="00036E6D">
        <w:trPr>
          <w:cantSplit/>
        </w:trPr>
        <w:tc>
          <w:tcPr>
            <w:tcW w:w="1977" w:type="dxa"/>
            <w:tcBorders>
              <w:top w:val="nil"/>
              <w:left w:val="nil"/>
              <w:bottom w:val="nil"/>
              <w:right w:val="nil"/>
            </w:tcBorders>
          </w:tcPr>
          <w:p w14:paraId="56D8C924" w14:textId="77777777" w:rsidR="00764108" w:rsidRPr="001735C7" w:rsidRDefault="00764108" w:rsidP="007C4023">
            <w:pPr>
              <w:pStyle w:val="definitions"/>
              <w:jc w:val="both"/>
              <w:rPr>
                <w:rFonts w:ascii="Arial Narrow" w:hAnsi="Arial Narrow"/>
                <w:color w:val="000000"/>
                <w:sz w:val="18"/>
                <w:szCs w:val="18"/>
                <w:lang w:val="en-AU"/>
              </w:rPr>
            </w:pPr>
          </w:p>
        </w:tc>
        <w:tc>
          <w:tcPr>
            <w:tcW w:w="6386" w:type="dxa"/>
            <w:tcBorders>
              <w:top w:val="nil"/>
              <w:left w:val="nil"/>
              <w:bottom w:val="nil"/>
              <w:right w:val="nil"/>
            </w:tcBorders>
          </w:tcPr>
          <w:p w14:paraId="55A95D18" w14:textId="77777777" w:rsidR="00764108" w:rsidRPr="001735C7" w:rsidRDefault="00764108" w:rsidP="007C4023">
            <w:pPr>
              <w:pStyle w:val="definitions"/>
              <w:jc w:val="both"/>
              <w:rPr>
                <w:rFonts w:ascii="Arial Narrow" w:hAnsi="Arial Narrow"/>
                <w:color w:val="000000"/>
                <w:sz w:val="18"/>
                <w:szCs w:val="18"/>
                <w:lang w:val="en-AU"/>
              </w:rPr>
            </w:pPr>
          </w:p>
        </w:tc>
      </w:tr>
      <w:tr w:rsidR="00764108" w:rsidRPr="001735C7" w14:paraId="57D2FA89" w14:textId="77777777" w:rsidTr="00036E6D">
        <w:trPr>
          <w:cantSplit/>
        </w:trPr>
        <w:tc>
          <w:tcPr>
            <w:tcW w:w="1977" w:type="dxa"/>
            <w:tcBorders>
              <w:top w:val="nil"/>
              <w:left w:val="nil"/>
              <w:bottom w:val="nil"/>
              <w:right w:val="nil"/>
            </w:tcBorders>
          </w:tcPr>
          <w:p w14:paraId="0E9F5AA7" w14:textId="77777777" w:rsidR="00764108" w:rsidRPr="001735C7" w:rsidRDefault="00764108" w:rsidP="00E04AEC">
            <w:pPr>
              <w:spacing w:after="0"/>
              <w:jc w:val="left"/>
              <w:rPr>
                <w:color w:val="000000"/>
              </w:rPr>
            </w:pPr>
            <w:proofErr w:type="spellStart"/>
            <w:r w:rsidRPr="001735C7">
              <w:rPr>
                <w:color w:val="000000"/>
              </w:rPr>
              <w:t>eLodgement</w:t>
            </w:r>
            <w:proofErr w:type="spellEnd"/>
          </w:p>
        </w:tc>
        <w:tc>
          <w:tcPr>
            <w:tcW w:w="6386" w:type="dxa"/>
            <w:tcBorders>
              <w:top w:val="nil"/>
              <w:left w:val="nil"/>
              <w:bottom w:val="nil"/>
              <w:right w:val="nil"/>
            </w:tcBorders>
          </w:tcPr>
          <w:p w14:paraId="12656B53" w14:textId="77777777" w:rsidR="00764108" w:rsidRPr="001735C7" w:rsidRDefault="00764108" w:rsidP="001E0C61">
            <w:pPr>
              <w:spacing w:after="0"/>
              <w:rPr>
                <w:color w:val="000000"/>
              </w:rPr>
            </w:pPr>
            <w:r w:rsidRPr="001735C7">
              <w:rPr>
                <w:color w:val="000000"/>
              </w:rPr>
              <w:t>electronic lodgement of a document using the electronic lodgement facility</w:t>
            </w:r>
          </w:p>
        </w:tc>
      </w:tr>
      <w:tr w:rsidR="00764108" w:rsidRPr="001735C7" w14:paraId="39DB3AD9" w14:textId="77777777" w:rsidTr="00036E6D">
        <w:trPr>
          <w:cantSplit/>
        </w:trPr>
        <w:tc>
          <w:tcPr>
            <w:tcW w:w="1977" w:type="dxa"/>
            <w:tcBorders>
              <w:top w:val="nil"/>
              <w:left w:val="nil"/>
              <w:bottom w:val="nil"/>
              <w:right w:val="nil"/>
            </w:tcBorders>
          </w:tcPr>
          <w:p w14:paraId="53E23A20" w14:textId="77777777" w:rsidR="00764108" w:rsidRPr="001735C7" w:rsidRDefault="00764108" w:rsidP="007C4023">
            <w:pPr>
              <w:pStyle w:val="definitions"/>
              <w:jc w:val="both"/>
              <w:rPr>
                <w:rFonts w:ascii="Arial Narrow" w:hAnsi="Arial Narrow"/>
                <w:color w:val="000000"/>
                <w:sz w:val="18"/>
                <w:szCs w:val="18"/>
                <w:lang w:val="en-AU"/>
              </w:rPr>
            </w:pPr>
          </w:p>
        </w:tc>
        <w:tc>
          <w:tcPr>
            <w:tcW w:w="6386" w:type="dxa"/>
            <w:tcBorders>
              <w:top w:val="nil"/>
              <w:left w:val="nil"/>
              <w:bottom w:val="nil"/>
              <w:right w:val="nil"/>
            </w:tcBorders>
          </w:tcPr>
          <w:p w14:paraId="28DCCE18" w14:textId="77777777" w:rsidR="00764108" w:rsidRPr="001735C7" w:rsidRDefault="00764108" w:rsidP="007C4023">
            <w:pPr>
              <w:pStyle w:val="definitions"/>
              <w:jc w:val="both"/>
              <w:rPr>
                <w:rFonts w:ascii="Arial Narrow" w:hAnsi="Arial Narrow"/>
                <w:color w:val="000000"/>
                <w:sz w:val="18"/>
                <w:szCs w:val="18"/>
                <w:lang w:val="en-AU"/>
              </w:rPr>
            </w:pPr>
          </w:p>
        </w:tc>
      </w:tr>
      <w:tr w:rsidR="00764108" w:rsidRPr="001735C7" w14:paraId="6E750949" w14:textId="77777777" w:rsidTr="00036E6D">
        <w:trPr>
          <w:cantSplit/>
        </w:trPr>
        <w:tc>
          <w:tcPr>
            <w:tcW w:w="1977" w:type="dxa"/>
            <w:tcBorders>
              <w:top w:val="nil"/>
              <w:left w:val="nil"/>
              <w:bottom w:val="nil"/>
              <w:right w:val="nil"/>
            </w:tcBorders>
          </w:tcPr>
          <w:p w14:paraId="2A6D5F4A" w14:textId="77777777" w:rsidR="00764108" w:rsidRPr="001735C7" w:rsidRDefault="00764108" w:rsidP="00E04AEC">
            <w:pPr>
              <w:spacing w:after="0"/>
              <w:jc w:val="left"/>
              <w:rPr>
                <w:color w:val="000000"/>
              </w:rPr>
            </w:pPr>
            <w:r w:rsidRPr="001735C7">
              <w:rPr>
                <w:color w:val="000000"/>
              </w:rPr>
              <w:t>entity details facility</w:t>
            </w:r>
          </w:p>
        </w:tc>
        <w:tc>
          <w:tcPr>
            <w:tcW w:w="6386" w:type="dxa"/>
            <w:tcBorders>
              <w:top w:val="nil"/>
              <w:left w:val="nil"/>
              <w:bottom w:val="nil"/>
              <w:right w:val="nil"/>
            </w:tcBorders>
          </w:tcPr>
          <w:p w14:paraId="40ED6629" w14:textId="77777777" w:rsidR="009A1CF3" w:rsidRPr="001735C7" w:rsidRDefault="00764108" w:rsidP="00436D84">
            <w:pPr>
              <w:spacing w:after="0"/>
              <w:rPr>
                <w:color w:val="000000"/>
              </w:rPr>
            </w:pPr>
            <w:r w:rsidRPr="001735C7">
              <w:rPr>
                <w:color w:val="000000"/>
              </w:rPr>
              <w:t>the facility which enables a listed entity</w:t>
            </w:r>
            <w:r w:rsidR="00F534F8" w:rsidRPr="00F534F8">
              <w:rPr>
                <w:color w:val="000000"/>
              </w:rPr>
              <w:t>, AQUA Product Issuer or Warrant-Issuer (as applicable)</w:t>
            </w:r>
            <w:r w:rsidRPr="001735C7">
              <w:rPr>
                <w:color w:val="000000"/>
              </w:rPr>
              <w:t xml:space="preserve"> to enter details regarding the listed entity</w:t>
            </w:r>
            <w:r w:rsidR="00F534F8" w:rsidRPr="00F534F8">
              <w:rPr>
                <w:color w:val="000000"/>
              </w:rPr>
              <w:t>, AQUA Product Issuer or Warrant-Issuer (as applicable)</w:t>
            </w:r>
            <w:r w:rsidRPr="001735C7">
              <w:rPr>
                <w:color w:val="000000"/>
              </w:rPr>
              <w:t xml:space="preserve"> in accordance with the ASX policy requirements available at https://www.asxonline.com or such other address as notified by ASX</w:t>
            </w:r>
          </w:p>
        </w:tc>
      </w:tr>
      <w:tr w:rsidR="00764108" w:rsidRPr="001735C7" w14:paraId="27A6F1F2" w14:textId="77777777" w:rsidTr="00036E6D">
        <w:trPr>
          <w:cantSplit/>
        </w:trPr>
        <w:tc>
          <w:tcPr>
            <w:tcW w:w="1977" w:type="dxa"/>
            <w:tcBorders>
              <w:top w:val="nil"/>
              <w:left w:val="nil"/>
              <w:bottom w:val="nil"/>
              <w:right w:val="nil"/>
            </w:tcBorders>
          </w:tcPr>
          <w:p w14:paraId="1AF21FEC" w14:textId="77777777" w:rsidR="00764108" w:rsidRPr="001735C7" w:rsidRDefault="00764108" w:rsidP="007C4023">
            <w:pPr>
              <w:pStyle w:val="definitions"/>
              <w:jc w:val="both"/>
              <w:rPr>
                <w:rFonts w:ascii="Arial Narrow" w:hAnsi="Arial Narrow"/>
                <w:color w:val="000000"/>
                <w:sz w:val="18"/>
                <w:szCs w:val="18"/>
                <w:lang w:val="en-AU"/>
              </w:rPr>
            </w:pPr>
          </w:p>
        </w:tc>
        <w:tc>
          <w:tcPr>
            <w:tcW w:w="6386" w:type="dxa"/>
            <w:tcBorders>
              <w:top w:val="nil"/>
              <w:left w:val="nil"/>
              <w:bottom w:val="nil"/>
              <w:right w:val="nil"/>
            </w:tcBorders>
          </w:tcPr>
          <w:p w14:paraId="55BF5183" w14:textId="77777777" w:rsidR="00764108" w:rsidRPr="001735C7" w:rsidRDefault="00764108" w:rsidP="007C4023">
            <w:pPr>
              <w:pStyle w:val="definitions"/>
              <w:jc w:val="both"/>
              <w:rPr>
                <w:rFonts w:ascii="Arial Narrow" w:hAnsi="Arial Narrow"/>
                <w:color w:val="000000"/>
                <w:sz w:val="18"/>
                <w:szCs w:val="18"/>
                <w:lang w:val="en-AU"/>
              </w:rPr>
            </w:pPr>
          </w:p>
        </w:tc>
      </w:tr>
      <w:tr w:rsidR="00764108" w:rsidRPr="001735C7" w14:paraId="5F8B7F80" w14:textId="77777777" w:rsidTr="00036E6D">
        <w:trPr>
          <w:cantSplit/>
        </w:trPr>
        <w:tc>
          <w:tcPr>
            <w:tcW w:w="1977" w:type="dxa"/>
            <w:tcBorders>
              <w:top w:val="nil"/>
              <w:left w:val="nil"/>
              <w:bottom w:val="nil"/>
              <w:right w:val="nil"/>
            </w:tcBorders>
          </w:tcPr>
          <w:p w14:paraId="4A9CA535" w14:textId="77777777" w:rsidR="00764108" w:rsidRPr="001735C7" w:rsidRDefault="00764108" w:rsidP="00E04AEC">
            <w:pPr>
              <w:spacing w:after="0"/>
              <w:jc w:val="left"/>
              <w:rPr>
                <w:color w:val="000000"/>
              </w:rPr>
            </w:pPr>
            <w:r w:rsidRPr="001735C7">
              <w:rPr>
                <w:color w:val="000000"/>
              </w:rPr>
              <w:t>personal information</w:t>
            </w:r>
          </w:p>
        </w:tc>
        <w:tc>
          <w:tcPr>
            <w:tcW w:w="6386" w:type="dxa"/>
            <w:tcBorders>
              <w:top w:val="nil"/>
              <w:left w:val="nil"/>
              <w:bottom w:val="nil"/>
              <w:right w:val="nil"/>
            </w:tcBorders>
          </w:tcPr>
          <w:p w14:paraId="767AC95A" w14:textId="77777777" w:rsidR="00764108" w:rsidRPr="001735C7" w:rsidRDefault="00764108" w:rsidP="00436D84">
            <w:pPr>
              <w:spacing w:after="0"/>
              <w:rPr>
                <w:color w:val="000000"/>
              </w:rPr>
            </w:pPr>
            <w:r w:rsidRPr="001735C7">
              <w:rPr>
                <w:color w:val="000000"/>
              </w:rPr>
              <w:t>means information or an opinion (including information or an opinion forming part of a database), whether true or not, and whether in material form or not, about an individual whose identity is apparent, or can reasonably be ascertained from the information or opinion</w:t>
            </w:r>
          </w:p>
        </w:tc>
      </w:tr>
    </w:tbl>
    <w:p w14:paraId="05A72A72" w14:textId="77777777" w:rsidR="00764108" w:rsidRPr="001735C7" w:rsidRDefault="00764108">
      <w:pPr>
        <w:rPr>
          <w:color w:val="000000"/>
        </w:rPr>
      </w:pPr>
    </w:p>
    <w:p w14:paraId="7913FBD3" w14:textId="77777777" w:rsidR="00764108" w:rsidRPr="001735C7" w:rsidRDefault="00764108" w:rsidP="00A647C2">
      <w:pPr>
        <w:keepNext/>
        <w:tabs>
          <w:tab w:val="left" w:pos="5040"/>
        </w:tabs>
        <w:spacing w:after="120"/>
        <w:jc w:val="left"/>
        <w:rPr>
          <w:b/>
          <w:color w:val="000000"/>
          <w:u w:val="single"/>
        </w:rPr>
      </w:pPr>
      <w:r w:rsidRPr="001735C7">
        <w:rPr>
          <w:b/>
          <w:color w:val="000000"/>
          <w:u w:val="single"/>
        </w:rPr>
        <w:t xml:space="preserve">EXECUTED </w:t>
      </w:r>
      <w:r w:rsidRPr="001735C7">
        <w:rPr>
          <w:color w:val="000000"/>
        </w:rPr>
        <w:t>for and on behalf of the above entity.</w:t>
      </w:r>
    </w:p>
    <w:p w14:paraId="0EB0D87F" w14:textId="77777777" w:rsidR="00764108" w:rsidRPr="001735C7" w:rsidRDefault="00764108" w:rsidP="00A647C2">
      <w:pPr>
        <w:keepNext/>
        <w:tabs>
          <w:tab w:val="left" w:pos="5040"/>
        </w:tabs>
        <w:spacing w:after="120"/>
        <w:jc w:val="left"/>
        <w:rPr>
          <w:color w:val="000000"/>
          <w:sz w:val="20"/>
        </w:rPr>
      </w:pPr>
    </w:p>
    <w:p w14:paraId="316E49F1" w14:textId="77777777" w:rsidR="00764108" w:rsidRPr="001735C7" w:rsidRDefault="00764108" w:rsidP="00A647C2">
      <w:pPr>
        <w:keepNext/>
        <w:tabs>
          <w:tab w:val="left" w:pos="5040"/>
        </w:tabs>
        <w:spacing w:after="120"/>
        <w:jc w:val="left"/>
        <w:rPr>
          <w:color w:val="000000"/>
          <w:sz w:val="20"/>
        </w:rPr>
      </w:pPr>
      <w:r w:rsidRPr="001735C7">
        <w:rPr>
          <w:color w:val="000000"/>
          <w:sz w:val="20"/>
        </w:rPr>
        <w:t>Signature……………………………………</w:t>
      </w:r>
      <w:proofErr w:type="gramStart"/>
      <w:r w:rsidRPr="001735C7">
        <w:rPr>
          <w:color w:val="000000"/>
          <w:sz w:val="20"/>
        </w:rPr>
        <w:t>…..</w:t>
      </w:r>
      <w:proofErr w:type="gramEnd"/>
    </w:p>
    <w:p w14:paraId="6F17792A" w14:textId="77777777" w:rsidR="00764108" w:rsidRPr="001735C7" w:rsidRDefault="00764108" w:rsidP="00A647C2">
      <w:pPr>
        <w:keepNext/>
        <w:tabs>
          <w:tab w:val="left" w:pos="5040"/>
        </w:tabs>
        <w:spacing w:after="120"/>
        <w:jc w:val="left"/>
        <w:rPr>
          <w:color w:val="000000"/>
          <w:sz w:val="20"/>
        </w:rPr>
      </w:pPr>
      <w:r w:rsidRPr="001735C7">
        <w:rPr>
          <w:color w:val="000000"/>
          <w:sz w:val="20"/>
        </w:rPr>
        <w:t>Name…………………………………………….</w:t>
      </w:r>
    </w:p>
    <w:p w14:paraId="72903F8F" w14:textId="77777777" w:rsidR="00764108" w:rsidRPr="001735C7" w:rsidRDefault="00764108" w:rsidP="00A647C2">
      <w:pPr>
        <w:keepNext/>
        <w:tabs>
          <w:tab w:val="left" w:pos="5040"/>
        </w:tabs>
        <w:spacing w:after="120"/>
        <w:jc w:val="left"/>
        <w:rPr>
          <w:color w:val="000000"/>
          <w:sz w:val="20"/>
        </w:rPr>
      </w:pPr>
      <w:r w:rsidRPr="001735C7">
        <w:rPr>
          <w:color w:val="000000"/>
          <w:sz w:val="20"/>
        </w:rPr>
        <w:t xml:space="preserve">Position (Director of *company/responsible </w:t>
      </w:r>
      <w:proofErr w:type="gramStart"/>
      <w:r w:rsidRPr="001735C7">
        <w:rPr>
          <w:color w:val="000000"/>
          <w:sz w:val="20"/>
        </w:rPr>
        <w:t>entity)…</w:t>
      </w:r>
      <w:proofErr w:type="gramEnd"/>
      <w:r w:rsidRPr="001735C7">
        <w:rPr>
          <w:color w:val="000000"/>
          <w:sz w:val="20"/>
        </w:rPr>
        <w:t>.…………………………………….</w:t>
      </w:r>
    </w:p>
    <w:p w14:paraId="22E3422B" w14:textId="77777777" w:rsidR="00764108" w:rsidRPr="001735C7" w:rsidRDefault="00764108" w:rsidP="00A647C2">
      <w:pPr>
        <w:keepNext/>
        <w:tabs>
          <w:tab w:val="left" w:pos="5040"/>
        </w:tabs>
        <w:spacing w:after="120"/>
        <w:jc w:val="left"/>
        <w:rPr>
          <w:color w:val="000000"/>
          <w:sz w:val="14"/>
        </w:rPr>
      </w:pPr>
      <w:r w:rsidRPr="001735C7">
        <w:rPr>
          <w:i/>
          <w:color w:val="000000"/>
          <w:sz w:val="14"/>
        </w:rPr>
        <w:t>*Cross out the description that does not apply</w:t>
      </w:r>
    </w:p>
    <w:p w14:paraId="036E30C9" w14:textId="77777777" w:rsidR="00764108" w:rsidRPr="001735C7" w:rsidRDefault="00764108" w:rsidP="00A647C2">
      <w:pPr>
        <w:keepNext/>
        <w:tabs>
          <w:tab w:val="left" w:pos="5040"/>
        </w:tabs>
        <w:spacing w:after="120"/>
        <w:jc w:val="left"/>
        <w:rPr>
          <w:color w:val="000000"/>
          <w:sz w:val="20"/>
        </w:rPr>
      </w:pPr>
    </w:p>
    <w:p w14:paraId="3552353C" w14:textId="77777777" w:rsidR="00764108" w:rsidRPr="001735C7" w:rsidRDefault="00764108" w:rsidP="00A647C2">
      <w:pPr>
        <w:keepNext/>
        <w:tabs>
          <w:tab w:val="left" w:pos="5040"/>
        </w:tabs>
        <w:spacing w:after="120"/>
        <w:jc w:val="left"/>
        <w:rPr>
          <w:color w:val="000000"/>
          <w:sz w:val="20"/>
        </w:rPr>
      </w:pPr>
      <w:r w:rsidRPr="001735C7">
        <w:rPr>
          <w:color w:val="000000"/>
          <w:sz w:val="20"/>
        </w:rPr>
        <w:t>Signature…………………………………………</w:t>
      </w:r>
    </w:p>
    <w:p w14:paraId="2DD10AB3" w14:textId="77777777" w:rsidR="00764108" w:rsidRPr="001735C7" w:rsidRDefault="00764108" w:rsidP="00A647C2">
      <w:pPr>
        <w:keepNext/>
        <w:tabs>
          <w:tab w:val="left" w:pos="5040"/>
        </w:tabs>
        <w:spacing w:after="120"/>
        <w:jc w:val="left"/>
        <w:rPr>
          <w:color w:val="000000"/>
          <w:sz w:val="20"/>
        </w:rPr>
      </w:pPr>
      <w:proofErr w:type="gramStart"/>
      <w:r w:rsidRPr="001735C7">
        <w:rPr>
          <w:color w:val="000000"/>
          <w:sz w:val="20"/>
        </w:rPr>
        <w:t>Name:…</w:t>
      </w:r>
      <w:proofErr w:type="gramEnd"/>
      <w:r w:rsidRPr="001735C7">
        <w:rPr>
          <w:color w:val="000000"/>
          <w:sz w:val="20"/>
        </w:rPr>
        <w:t>………………………………………….</w:t>
      </w:r>
    </w:p>
    <w:p w14:paraId="47944EF1" w14:textId="77777777" w:rsidR="00764108" w:rsidRPr="001735C7" w:rsidRDefault="00764108" w:rsidP="00A647C2">
      <w:pPr>
        <w:keepNext/>
        <w:tabs>
          <w:tab w:val="left" w:pos="5040"/>
        </w:tabs>
        <w:spacing w:after="120"/>
        <w:jc w:val="left"/>
        <w:rPr>
          <w:color w:val="000000"/>
          <w:sz w:val="20"/>
        </w:rPr>
      </w:pPr>
      <w:r w:rsidRPr="001735C7">
        <w:rPr>
          <w:color w:val="000000"/>
          <w:sz w:val="20"/>
        </w:rPr>
        <w:t xml:space="preserve">Position (*Director/Secretary of *company/responsible </w:t>
      </w:r>
      <w:proofErr w:type="gramStart"/>
      <w:r w:rsidRPr="001735C7">
        <w:rPr>
          <w:color w:val="000000"/>
          <w:sz w:val="20"/>
        </w:rPr>
        <w:t>entity)…</w:t>
      </w:r>
      <w:proofErr w:type="gramEnd"/>
      <w:r w:rsidRPr="001735C7">
        <w:rPr>
          <w:color w:val="000000"/>
          <w:sz w:val="20"/>
        </w:rPr>
        <w:t>………………………</w:t>
      </w:r>
    </w:p>
    <w:p w14:paraId="1FA54C31" w14:textId="77777777" w:rsidR="00764108" w:rsidRPr="001735C7" w:rsidRDefault="00764108" w:rsidP="00A647C2">
      <w:pPr>
        <w:keepNext/>
        <w:tabs>
          <w:tab w:val="left" w:pos="5040"/>
        </w:tabs>
        <w:spacing w:after="120"/>
        <w:jc w:val="left"/>
        <w:rPr>
          <w:color w:val="000000"/>
          <w:sz w:val="14"/>
        </w:rPr>
      </w:pPr>
      <w:r w:rsidRPr="001735C7">
        <w:rPr>
          <w:i/>
          <w:color w:val="000000"/>
          <w:sz w:val="14"/>
        </w:rPr>
        <w:t>*Cross out the description that does not apply</w:t>
      </w:r>
    </w:p>
    <w:p w14:paraId="2368C912" w14:textId="77777777" w:rsidR="00764108" w:rsidRPr="001735C7" w:rsidRDefault="00764108" w:rsidP="00A647C2">
      <w:pPr>
        <w:keepNext/>
        <w:tabs>
          <w:tab w:val="left" w:pos="5040"/>
        </w:tabs>
        <w:spacing w:after="120"/>
        <w:jc w:val="left"/>
        <w:rPr>
          <w:color w:val="000000"/>
          <w:sz w:val="20"/>
        </w:rPr>
      </w:pPr>
    </w:p>
    <w:p w14:paraId="05F68625" w14:textId="77777777" w:rsidR="00764108" w:rsidRPr="001735C7" w:rsidRDefault="00764108" w:rsidP="00A647C2">
      <w:pPr>
        <w:keepNext/>
        <w:tabs>
          <w:tab w:val="left" w:pos="5040"/>
        </w:tabs>
        <w:spacing w:after="120"/>
        <w:jc w:val="left"/>
        <w:rPr>
          <w:color w:val="000000"/>
        </w:rPr>
      </w:pPr>
      <w:r w:rsidRPr="001735C7">
        <w:rPr>
          <w:color w:val="000000"/>
        </w:rPr>
        <w:t>Date ………………………………………….</w:t>
      </w:r>
    </w:p>
    <w:p w14:paraId="5D84DB4F" w14:textId="77777777" w:rsidR="00764108" w:rsidRPr="001735C7" w:rsidRDefault="00764108" w:rsidP="00A647C2">
      <w:pPr>
        <w:pStyle w:val="BodyText"/>
        <w:keepNext/>
        <w:tabs>
          <w:tab w:val="clear" w:pos="5040"/>
        </w:tabs>
        <w:overflowPunct/>
        <w:autoSpaceDE/>
        <w:autoSpaceDN/>
        <w:adjustRightInd/>
        <w:spacing w:after="120"/>
        <w:ind w:right="0"/>
        <w:jc w:val="left"/>
        <w:textAlignment w:val="auto"/>
        <w:rPr>
          <w:rFonts w:ascii="Arial Narrow" w:hAnsi="Arial Narrow"/>
          <w:color w:val="000000"/>
          <w:lang w:val="en-AU"/>
        </w:rPr>
      </w:pPr>
      <w:r w:rsidRPr="001735C7">
        <w:rPr>
          <w:rFonts w:ascii="Arial Narrow" w:hAnsi="Arial Narrow"/>
          <w:color w:val="000000"/>
          <w:lang w:val="en-AU"/>
        </w:rPr>
        <w:t>Note:</w:t>
      </w:r>
      <w:r w:rsidR="008460B4" w:rsidRPr="001735C7">
        <w:rPr>
          <w:rFonts w:ascii="Arial Narrow" w:hAnsi="Arial Narrow"/>
          <w:color w:val="000000"/>
          <w:lang w:val="en-AU"/>
        </w:rPr>
        <w:t xml:space="preserve"> </w:t>
      </w:r>
      <w:r w:rsidRPr="001735C7">
        <w:rPr>
          <w:rFonts w:ascii="Arial Narrow" w:hAnsi="Arial Narrow"/>
          <w:color w:val="000000"/>
          <w:lang w:val="en-AU"/>
        </w:rPr>
        <w:t>In the case of a company, the agreement must be signed by two authorised officers. In the case of a trust, it must be signed by two authorised officers of the responsible entity.</w:t>
      </w:r>
    </w:p>
    <w:p w14:paraId="2FFB4B7D" w14:textId="1FE276FB" w:rsidR="00835161" w:rsidRDefault="00764108" w:rsidP="00835161">
      <w:pPr>
        <w:pStyle w:val="BodyText"/>
        <w:tabs>
          <w:tab w:val="clear" w:pos="5040"/>
        </w:tabs>
        <w:spacing w:after="120"/>
        <w:ind w:right="0"/>
      </w:pPr>
      <w:r w:rsidRPr="001735C7">
        <w:rPr>
          <w:rFonts w:ascii="Arial Narrow" w:hAnsi="Arial Narrow"/>
          <w:lang w:val="en-AU"/>
        </w:rPr>
        <w:t xml:space="preserve">In the case of a company or responsible entity to which the Corporation Act applies, the two authorised officers must be two directors or a director and secretary </w:t>
      </w:r>
      <w:r w:rsidR="00AA0ED3" w:rsidRPr="001735C7">
        <w:rPr>
          <w:rFonts w:ascii="Arial Narrow" w:hAnsi="Arial Narrow"/>
          <w:lang w:val="en-AU"/>
        </w:rPr>
        <w:t>(</w:t>
      </w:r>
      <w:proofErr w:type="spellStart"/>
      <w:r w:rsidRPr="001735C7">
        <w:rPr>
          <w:rFonts w:ascii="Arial Narrow" w:hAnsi="Arial Narrow"/>
          <w:lang w:val="en-AU"/>
        </w:rPr>
        <w:t>ie</w:t>
      </w:r>
      <w:proofErr w:type="spellEnd"/>
      <w:r w:rsidRPr="001735C7">
        <w:rPr>
          <w:rFonts w:ascii="Arial Narrow" w:hAnsi="Arial Narrow"/>
          <w:lang w:val="en-AU"/>
        </w:rPr>
        <w:t xml:space="preserve"> the document must be exec</w:t>
      </w:r>
      <w:r w:rsidR="00AA0ED3" w:rsidRPr="001735C7">
        <w:rPr>
          <w:rFonts w:ascii="Arial Narrow" w:hAnsi="Arial Narrow"/>
          <w:lang w:val="en-AU"/>
        </w:rPr>
        <w:t>uted in accordance with section </w:t>
      </w:r>
      <w:r w:rsidRPr="001735C7">
        <w:rPr>
          <w:rFonts w:ascii="Arial Narrow" w:hAnsi="Arial Narrow"/>
          <w:lang w:val="en-AU"/>
        </w:rPr>
        <w:t>127 of the Corporations Act</w:t>
      </w:r>
      <w:r w:rsidR="00AA0ED3" w:rsidRPr="001735C7">
        <w:rPr>
          <w:rFonts w:ascii="Arial Narrow" w:hAnsi="Arial Narrow"/>
          <w:lang w:val="en-AU"/>
        </w:rPr>
        <w:t>)</w:t>
      </w:r>
    </w:p>
    <w:p w14:paraId="76F0940C" w14:textId="77777777" w:rsidR="00036E6D" w:rsidRPr="00835161" w:rsidRDefault="00036E6D" w:rsidP="00835161">
      <w:pPr>
        <w:sectPr w:rsidR="00036E6D" w:rsidRPr="00835161" w:rsidSect="00036E6D">
          <w:headerReference w:type="default" r:id="rId8"/>
          <w:footerReference w:type="default" r:id="rId9"/>
          <w:footerReference w:type="first" r:id="rId10"/>
          <w:endnotePr>
            <w:numFmt w:val="decimal"/>
          </w:endnotePr>
          <w:pgSz w:w="11906" w:h="16838" w:code="9"/>
          <w:pgMar w:top="1418" w:right="1418" w:bottom="680" w:left="1418" w:header="709" w:footer="709" w:gutter="0"/>
          <w:cols w:space="720"/>
          <w:noEndnote/>
        </w:sectPr>
      </w:pPr>
    </w:p>
    <w:p w14:paraId="05CDDC15" w14:textId="28E648D9" w:rsidR="00764108" w:rsidRPr="001735C7" w:rsidRDefault="00764108" w:rsidP="00A647C2">
      <w:pPr>
        <w:pStyle w:val="BodyText"/>
        <w:tabs>
          <w:tab w:val="clear" w:pos="5040"/>
        </w:tabs>
        <w:spacing w:after="120"/>
        <w:ind w:right="0"/>
        <w:rPr>
          <w:rFonts w:ascii="Arial Narrow" w:hAnsi="Arial Narrow"/>
          <w:b/>
          <w:i w:val="0"/>
          <w:color w:val="000000"/>
          <w:sz w:val="28"/>
          <w:szCs w:val="28"/>
          <w:lang w:val="en-AU"/>
        </w:rPr>
      </w:pPr>
      <w:r w:rsidRPr="001735C7">
        <w:rPr>
          <w:rFonts w:ascii="Arial Narrow" w:hAnsi="Arial Narrow"/>
          <w:b/>
          <w:i w:val="0"/>
          <w:color w:val="000000"/>
          <w:sz w:val="28"/>
          <w:szCs w:val="28"/>
          <w:lang w:val="en-AU"/>
        </w:rPr>
        <w:lastRenderedPageBreak/>
        <w:t xml:space="preserve">ASX policy requirements for use of </w:t>
      </w:r>
      <w:r w:rsidRPr="001735C7">
        <w:rPr>
          <w:rFonts w:ascii="Arial Narrow" w:hAnsi="Arial Narrow"/>
          <w:b/>
          <w:i w:val="0"/>
          <w:color w:val="000000"/>
          <w:sz w:val="28"/>
          <w:szCs w:val="28"/>
          <w:lang w:val="en-AU"/>
        </w:rPr>
        <w:br/>
        <w:t>electronic lodgement facility and entity details facility</w:t>
      </w:r>
    </w:p>
    <w:p w14:paraId="4580D48A" w14:textId="1F604D7B" w:rsidR="00764108" w:rsidRPr="001735C7" w:rsidRDefault="00764108" w:rsidP="00AA0ED3">
      <w:pPr>
        <w:rPr>
          <w:i/>
          <w:sz w:val="20"/>
          <w:szCs w:val="20"/>
        </w:rPr>
      </w:pPr>
      <w:r w:rsidRPr="001735C7">
        <w:rPr>
          <w:i/>
          <w:sz w:val="20"/>
          <w:szCs w:val="20"/>
        </w:rPr>
        <w:t xml:space="preserve">Current: </w:t>
      </w:r>
      <w:r w:rsidR="00AB3F38">
        <w:rPr>
          <w:i/>
          <w:sz w:val="20"/>
          <w:szCs w:val="20"/>
        </w:rPr>
        <w:t>26 June 2025</w:t>
      </w:r>
    </w:p>
    <w:p w14:paraId="7A6693D6" w14:textId="77777777" w:rsidR="00764108" w:rsidRPr="001735C7" w:rsidRDefault="00764108" w:rsidP="00436D84">
      <w:pPr>
        <w:keepNext/>
        <w:rPr>
          <w:b/>
        </w:rPr>
      </w:pPr>
      <w:r w:rsidRPr="001735C7">
        <w:rPr>
          <w:b/>
        </w:rPr>
        <w:t>Part 1 – Documents that may be given to ASX electronically</w:t>
      </w:r>
    </w:p>
    <w:p w14:paraId="4C42738D" w14:textId="4E60E249" w:rsidR="00764108" w:rsidRPr="001735C7" w:rsidRDefault="00764108" w:rsidP="00436D84">
      <w:pPr>
        <w:ind w:left="567" w:hanging="567"/>
        <w:rPr>
          <w:color w:val="000000"/>
        </w:rPr>
      </w:pPr>
      <w:r w:rsidRPr="001735C7">
        <w:rPr>
          <w:color w:val="000000"/>
        </w:rPr>
        <w:t>1.1</w:t>
      </w:r>
      <w:r w:rsidRPr="001735C7">
        <w:rPr>
          <w:color w:val="000000"/>
        </w:rPr>
        <w:tab/>
        <w:t xml:space="preserve">Documents required to be given to ASX </w:t>
      </w:r>
      <w:r w:rsidR="00BE26CB" w:rsidRPr="001735C7">
        <w:rPr>
          <w:color w:val="000000"/>
        </w:rPr>
        <w:t xml:space="preserve">by a listed entity for release to the market </w:t>
      </w:r>
      <w:r w:rsidRPr="001735C7">
        <w:rPr>
          <w:color w:val="000000"/>
        </w:rPr>
        <w:t xml:space="preserve">under the </w:t>
      </w:r>
      <w:r w:rsidR="00F530E3" w:rsidRPr="001735C7">
        <w:rPr>
          <w:color w:val="000000"/>
        </w:rPr>
        <w:t xml:space="preserve">ASX </w:t>
      </w:r>
      <w:r w:rsidRPr="001735C7">
        <w:rPr>
          <w:color w:val="000000"/>
        </w:rPr>
        <w:t xml:space="preserve">Listing Rules or the Corporations Act </w:t>
      </w:r>
      <w:r w:rsidR="00BE26CB" w:rsidRPr="001735C7">
        <w:rPr>
          <w:color w:val="000000"/>
        </w:rPr>
        <w:t xml:space="preserve">must </w:t>
      </w:r>
      <w:r w:rsidRPr="001735C7">
        <w:rPr>
          <w:color w:val="000000"/>
        </w:rPr>
        <w:t xml:space="preserve">be </w:t>
      </w:r>
      <w:proofErr w:type="spellStart"/>
      <w:r w:rsidRPr="001735C7">
        <w:rPr>
          <w:color w:val="000000"/>
        </w:rPr>
        <w:t>eLodged</w:t>
      </w:r>
      <w:proofErr w:type="spellEnd"/>
      <w:r w:rsidRPr="001735C7">
        <w:rPr>
          <w:i/>
          <w:color w:val="000000"/>
        </w:rPr>
        <w:t>.</w:t>
      </w:r>
    </w:p>
    <w:p w14:paraId="4A3C839E" w14:textId="77777777" w:rsidR="00BE26CB" w:rsidRPr="001735C7" w:rsidRDefault="00BE26CB" w:rsidP="00BE26CB">
      <w:pPr>
        <w:ind w:left="567" w:hanging="567"/>
        <w:rPr>
          <w:color w:val="000000"/>
        </w:rPr>
      </w:pPr>
      <w:r w:rsidRPr="001735C7">
        <w:rPr>
          <w:color w:val="000000"/>
        </w:rPr>
        <w:t>1.2</w:t>
      </w:r>
      <w:r w:rsidRPr="001735C7">
        <w:rPr>
          <w:color w:val="000000"/>
        </w:rPr>
        <w:tab/>
        <w:t xml:space="preserve">Documents required to be given to ASX by someone other than a listed entity under the Corporations Act for release to the market may be </w:t>
      </w:r>
      <w:proofErr w:type="spellStart"/>
      <w:r w:rsidRPr="001735C7">
        <w:rPr>
          <w:color w:val="000000"/>
        </w:rPr>
        <w:t>eLodged</w:t>
      </w:r>
      <w:proofErr w:type="spellEnd"/>
      <w:r w:rsidRPr="001735C7">
        <w:rPr>
          <w:i/>
          <w:color w:val="000000"/>
        </w:rPr>
        <w:t>.</w:t>
      </w:r>
    </w:p>
    <w:p w14:paraId="0E9227E8" w14:textId="5D5DF849" w:rsidR="00F530E3" w:rsidRPr="001735C7" w:rsidRDefault="00F530E3" w:rsidP="00F530E3">
      <w:pPr>
        <w:ind w:left="567" w:hanging="567"/>
        <w:rPr>
          <w:color w:val="000000"/>
        </w:rPr>
      </w:pPr>
      <w:r w:rsidRPr="001735C7">
        <w:rPr>
          <w:color w:val="000000"/>
        </w:rPr>
        <w:t>1.3</w:t>
      </w:r>
      <w:r w:rsidRPr="001735C7">
        <w:rPr>
          <w:color w:val="000000"/>
        </w:rPr>
        <w:tab/>
        <w:t>Documents required to be given to ASX by a Warrant-Issuer or AQUA Product Issuer for release to the market under the ASX Operating Rules m</w:t>
      </w:r>
      <w:r w:rsidR="00292EB1">
        <w:rPr>
          <w:color w:val="000000"/>
        </w:rPr>
        <w:t>ust</w:t>
      </w:r>
      <w:r w:rsidRPr="001735C7">
        <w:rPr>
          <w:color w:val="000000"/>
        </w:rPr>
        <w:t xml:space="preserve"> be </w:t>
      </w:r>
      <w:proofErr w:type="spellStart"/>
      <w:r w:rsidRPr="001735C7">
        <w:rPr>
          <w:color w:val="000000"/>
        </w:rPr>
        <w:t>eLodged</w:t>
      </w:r>
      <w:proofErr w:type="spellEnd"/>
      <w:r w:rsidRPr="001735C7">
        <w:rPr>
          <w:i/>
          <w:color w:val="000000"/>
        </w:rPr>
        <w:t>.</w:t>
      </w:r>
    </w:p>
    <w:p w14:paraId="1811AB27" w14:textId="77777777" w:rsidR="00764108" w:rsidRPr="001735C7" w:rsidRDefault="00764108" w:rsidP="00436D84">
      <w:pPr>
        <w:ind w:left="567" w:hanging="567"/>
        <w:rPr>
          <w:color w:val="000000"/>
        </w:rPr>
      </w:pPr>
      <w:r w:rsidRPr="001735C7">
        <w:rPr>
          <w:color w:val="000000"/>
        </w:rPr>
        <w:t>1.</w:t>
      </w:r>
      <w:r w:rsidR="00F530E3" w:rsidRPr="001735C7">
        <w:rPr>
          <w:color w:val="000000"/>
        </w:rPr>
        <w:t>4</w:t>
      </w:r>
      <w:r w:rsidRPr="001735C7">
        <w:rPr>
          <w:color w:val="000000"/>
        </w:rPr>
        <w:tab/>
        <w:t xml:space="preserve">No other documents may be </w:t>
      </w:r>
      <w:proofErr w:type="spellStart"/>
      <w:r w:rsidRPr="001735C7">
        <w:rPr>
          <w:color w:val="000000"/>
        </w:rPr>
        <w:t>eLodged</w:t>
      </w:r>
      <w:proofErr w:type="spellEnd"/>
      <w:r w:rsidRPr="001735C7">
        <w:rPr>
          <w:color w:val="000000"/>
        </w:rPr>
        <w:t>.</w:t>
      </w:r>
    </w:p>
    <w:p w14:paraId="78DFAFA9" w14:textId="77777777" w:rsidR="00764108" w:rsidRPr="001735C7" w:rsidRDefault="00764108" w:rsidP="00436D84">
      <w:pPr>
        <w:keepNext/>
        <w:rPr>
          <w:b/>
        </w:rPr>
      </w:pPr>
      <w:r w:rsidRPr="001735C7">
        <w:rPr>
          <w:b/>
        </w:rPr>
        <w:t>Part 2 – Access to the electronic lodgement facility and entity details facility</w:t>
      </w:r>
    </w:p>
    <w:p w14:paraId="3862E4F3" w14:textId="77777777" w:rsidR="00764108" w:rsidRPr="001735C7" w:rsidRDefault="00764108" w:rsidP="00436D84">
      <w:pPr>
        <w:ind w:left="567" w:hanging="567"/>
        <w:rPr>
          <w:color w:val="000000"/>
        </w:rPr>
      </w:pPr>
      <w:r w:rsidRPr="001735C7">
        <w:rPr>
          <w:color w:val="000000"/>
        </w:rPr>
        <w:t>2.1</w:t>
      </w:r>
      <w:r w:rsidRPr="001735C7">
        <w:rPr>
          <w:color w:val="000000"/>
        </w:rPr>
        <w:tab/>
        <w:t xml:space="preserve">We must obtain and operate our own </w:t>
      </w:r>
      <w:r w:rsidR="00845C83">
        <w:rPr>
          <w:color w:val="000000"/>
        </w:rPr>
        <w:t>internet access</w:t>
      </w:r>
      <w:r w:rsidRPr="001735C7">
        <w:rPr>
          <w:color w:val="000000"/>
        </w:rPr>
        <w:t>, computer, hardware, software and all other equipment required to access the electronic lodgement facility and entity details facility.</w:t>
      </w:r>
    </w:p>
    <w:p w14:paraId="44F6102D" w14:textId="77777777" w:rsidR="00764108" w:rsidRPr="001735C7" w:rsidRDefault="00764108" w:rsidP="00436D84">
      <w:pPr>
        <w:ind w:left="567" w:hanging="567"/>
        <w:rPr>
          <w:color w:val="000000"/>
        </w:rPr>
      </w:pPr>
      <w:r w:rsidRPr="001735C7">
        <w:rPr>
          <w:color w:val="000000"/>
        </w:rPr>
        <w:t>2.2</w:t>
      </w:r>
      <w:r w:rsidRPr="001735C7">
        <w:rPr>
          <w:color w:val="000000"/>
        </w:rPr>
        <w:tab/>
        <w:t>We must obtain and pay for our own reliable internet access and communications links to ASX.</w:t>
      </w:r>
    </w:p>
    <w:p w14:paraId="2ED75648" w14:textId="77777777" w:rsidR="00764108" w:rsidRPr="001735C7" w:rsidRDefault="00764108" w:rsidP="00436D84">
      <w:pPr>
        <w:ind w:left="567" w:hanging="567"/>
        <w:rPr>
          <w:color w:val="000000"/>
        </w:rPr>
      </w:pPr>
      <w:r w:rsidRPr="001735C7">
        <w:rPr>
          <w:color w:val="000000"/>
        </w:rPr>
        <w:t>2.3</w:t>
      </w:r>
      <w:r w:rsidRPr="001735C7">
        <w:rPr>
          <w:color w:val="000000"/>
        </w:rPr>
        <w:tab/>
        <w:t>We must use software that converts documents into pdf such as Adobe Acrobat.</w:t>
      </w:r>
    </w:p>
    <w:p w14:paraId="1615CA05" w14:textId="77777777" w:rsidR="00764108" w:rsidRDefault="00764108" w:rsidP="00436D84">
      <w:pPr>
        <w:ind w:left="567" w:hanging="567"/>
        <w:rPr>
          <w:color w:val="000000"/>
        </w:rPr>
      </w:pPr>
      <w:r w:rsidRPr="001735C7">
        <w:rPr>
          <w:color w:val="000000"/>
        </w:rPr>
        <w:t>2.4</w:t>
      </w:r>
      <w:r w:rsidRPr="001735C7">
        <w:rPr>
          <w:color w:val="000000"/>
        </w:rPr>
        <w:tab/>
        <w:t>We must convert a document to pdf before transmitting it to ASX.</w:t>
      </w:r>
    </w:p>
    <w:p w14:paraId="5CF3EEB1" w14:textId="77777777" w:rsidR="009A1CF3" w:rsidRDefault="009A1CF3" w:rsidP="00436D84">
      <w:pPr>
        <w:ind w:left="567" w:hanging="567"/>
        <w:rPr>
          <w:b/>
          <w:color w:val="000000"/>
        </w:rPr>
      </w:pPr>
      <w:r>
        <w:rPr>
          <w:b/>
          <w:color w:val="000000"/>
        </w:rPr>
        <w:t xml:space="preserve">Part 2A – </w:t>
      </w:r>
      <w:r w:rsidR="0005320F">
        <w:rPr>
          <w:b/>
          <w:color w:val="000000"/>
        </w:rPr>
        <w:t>Online forms</w:t>
      </w:r>
    </w:p>
    <w:p w14:paraId="1518E414" w14:textId="77777777" w:rsidR="009A1CF3" w:rsidRDefault="009A1CF3" w:rsidP="00436D84">
      <w:pPr>
        <w:ind w:left="567" w:hanging="567"/>
        <w:rPr>
          <w:color w:val="000000"/>
        </w:rPr>
      </w:pPr>
      <w:r>
        <w:rPr>
          <w:color w:val="000000"/>
        </w:rPr>
        <w:t>2A.1</w:t>
      </w:r>
      <w:r>
        <w:rPr>
          <w:color w:val="000000"/>
        </w:rPr>
        <w:tab/>
      </w:r>
      <w:r w:rsidR="0005320F" w:rsidRPr="002577CD">
        <w:t xml:space="preserve">Where ASX makes available an online form relating to a matter, </w:t>
      </w:r>
      <w:r w:rsidR="0005320F">
        <w:t xml:space="preserve">we must generate </w:t>
      </w:r>
      <w:r w:rsidR="0005320F" w:rsidRPr="002577CD">
        <w:t xml:space="preserve">a document for release to the market by completing the relevant online form made available by ASX and lodging it through the </w:t>
      </w:r>
      <w:r w:rsidR="0005320F">
        <w:t xml:space="preserve">part of the electronic lodgement </w:t>
      </w:r>
      <w:r w:rsidR="0005320F" w:rsidRPr="002577CD">
        <w:t xml:space="preserve">facility </w:t>
      </w:r>
      <w:r w:rsidR="0005320F">
        <w:t>provided for the lodgement of</w:t>
      </w:r>
      <w:r w:rsidR="0005320F" w:rsidRPr="002577CD">
        <w:t xml:space="preserve"> online form</w:t>
      </w:r>
      <w:r w:rsidR="0005320F">
        <w:t>s</w:t>
      </w:r>
      <w:r w:rsidR="0005320F" w:rsidRPr="002577CD">
        <w:t>.</w:t>
      </w:r>
    </w:p>
    <w:p w14:paraId="76F29CB1" w14:textId="77777777" w:rsidR="003E73E5" w:rsidRPr="002577CD" w:rsidRDefault="009A1CF3" w:rsidP="00436D84">
      <w:pPr>
        <w:ind w:left="567" w:hanging="567"/>
      </w:pPr>
      <w:r>
        <w:rPr>
          <w:color w:val="000000"/>
        </w:rPr>
        <w:t>2A.2</w:t>
      </w:r>
      <w:r>
        <w:rPr>
          <w:color w:val="000000"/>
        </w:rPr>
        <w:tab/>
      </w:r>
      <w:r w:rsidR="0005320F">
        <w:rPr>
          <w:color w:val="000000"/>
        </w:rPr>
        <w:t xml:space="preserve">We must </w:t>
      </w:r>
      <w:r w:rsidR="0005320F" w:rsidRPr="002577CD">
        <w:rPr>
          <w:szCs w:val="22"/>
        </w:rPr>
        <w:t xml:space="preserve">provide the information in the </w:t>
      </w:r>
      <w:r w:rsidR="0005320F">
        <w:rPr>
          <w:szCs w:val="22"/>
        </w:rPr>
        <w:t>online form</w:t>
      </w:r>
      <w:r w:rsidR="0005320F" w:rsidRPr="002577CD">
        <w:rPr>
          <w:szCs w:val="22"/>
        </w:rPr>
        <w:t xml:space="preserve"> within the timeframes specified </w:t>
      </w:r>
      <w:r w:rsidR="0005320F">
        <w:rPr>
          <w:szCs w:val="22"/>
        </w:rPr>
        <w:t>in the online form</w:t>
      </w:r>
      <w:r w:rsidR="003B44F9" w:rsidRPr="002577CD">
        <w:t>.</w:t>
      </w:r>
    </w:p>
    <w:p w14:paraId="547232CD" w14:textId="77777777" w:rsidR="00DE4610" w:rsidRDefault="003E73E5" w:rsidP="00436D84">
      <w:pPr>
        <w:ind w:left="567" w:hanging="567"/>
        <w:rPr>
          <w:szCs w:val="22"/>
        </w:rPr>
      </w:pPr>
      <w:r>
        <w:rPr>
          <w:color w:val="000000"/>
        </w:rPr>
        <w:t>2A.</w:t>
      </w:r>
      <w:r w:rsidR="003B44F9">
        <w:rPr>
          <w:color w:val="000000"/>
        </w:rPr>
        <w:t>3</w:t>
      </w:r>
      <w:r>
        <w:rPr>
          <w:color w:val="000000"/>
        </w:rPr>
        <w:tab/>
      </w:r>
      <w:r w:rsidR="0005320F" w:rsidRPr="002577CD">
        <w:rPr>
          <w:szCs w:val="22"/>
        </w:rPr>
        <w:t xml:space="preserve">Where </w:t>
      </w:r>
      <w:r w:rsidR="0005320F">
        <w:rPr>
          <w:szCs w:val="22"/>
        </w:rPr>
        <w:t>we have</w:t>
      </w:r>
      <w:r w:rsidR="0005320F" w:rsidRPr="002577CD">
        <w:rPr>
          <w:szCs w:val="22"/>
        </w:rPr>
        <w:t xml:space="preserve"> lodged an online form in respect of a matter, </w:t>
      </w:r>
      <w:r w:rsidR="0005320F">
        <w:rPr>
          <w:szCs w:val="22"/>
        </w:rPr>
        <w:t xml:space="preserve">we must </w:t>
      </w:r>
      <w:r w:rsidR="00D422EC">
        <w:rPr>
          <w:szCs w:val="22"/>
        </w:rPr>
        <w:t>make</w:t>
      </w:r>
      <w:r w:rsidR="0005320F">
        <w:rPr>
          <w:szCs w:val="22"/>
        </w:rPr>
        <w:t xml:space="preserve"> </w:t>
      </w:r>
      <w:r w:rsidR="0005320F" w:rsidRPr="002577CD">
        <w:rPr>
          <w:szCs w:val="22"/>
        </w:rPr>
        <w:t>any change to the information in the online form by lodging an online form which is an update to or cancellation of the original online form.</w:t>
      </w:r>
    </w:p>
    <w:p w14:paraId="3C13D018" w14:textId="77777777" w:rsidR="003E73E5" w:rsidRPr="002577CD" w:rsidRDefault="00DE4610" w:rsidP="00436D84">
      <w:pPr>
        <w:ind w:left="567" w:hanging="567"/>
      </w:pPr>
      <w:r w:rsidRPr="00233903">
        <w:rPr>
          <w:szCs w:val="22"/>
        </w:rPr>
        <w:t>2A.4</w:t>
      </w:r>
      <w:r w:rsidRPr="00233903">
        <w:rPr>
          <w:szCs w:val="22"/>
        </w:rPr>
        <w:tab/>
        <w:t>Where we have lodged an online form</w:t>
      </w:r>
      <w:r w:rsidR="00306D3B">
        <w:rPr>
          <w:szCs w:val="22"/>
        </w:rPr>
        <w:t xml:space="preserve"> which contains information</w:t>
      </w:r>
      <w:r w:rsidRPr="00233903">
        <w:rPr>
          <w:szCs w:val="22"/>
        </w:rPr>
        <w:t xml:space="preserve"> </w:t>
      </w:r>
      <w:r w:rsidR="00233903">
        <w:rPr>
          <w:szCs w:val="22"/>
        </w:rPr>
        <w:t>inconsistent with</w:t>
      </w:r>
      <w:r w:rsidRPr="00233903">
        <w:rPr>
          <w:szCs w:val="22"/>
        </w:rPr>
        <w:t xml:space="preserve"> </w:t>
      </w:r>
      <w:r w:rsidR="00233903">
        <w:rPr>
          <w:szCs w:val="22"/>
        </w:rPr>
        <w:t>information we have provided in a PDF announcement</w:t>
      </w:r>
      <w:r w:rsidRPr="00233903">
        <w:rPr>
          <w:szCs w:val="22"/>
        </w:rPr>
        <w:t>, we acknowledge that ASX will treat the information in the online form as being accurate unless we advise ASX otherwise and undertake to immediately lodge an update to the online form which corrects the inconsistency.</w:t>
      </w:r>
    </w:p>
    <w:p w14:paraId="5F22F897" w14:textId="77777777" w:rsidR="00764108" w:rsidRPr="001735C7" w:rsidRDefault="00764108" w:rsidP="00436D84">
      <w:pPr>
        <w:keepNext/>
        <w:rPr>
          <w:b/>
        </w:rPr>
      </w:pPr>
      <w:r w:rsidRPr="001735C7">
        <w:rPr>
          <w:b/>
        </w:rPr>
        <w:t xml:space="preserve">Part 3 – Authentication procedures </w:t>
      </w:r>
    </w:p>
    <w:p w14:paraId="5BA7AAD2" w14:textId="77777777" w:rsidR="00764108" w:rsidRPr="001735C7" w:rsidRDefault="00764108" w:rsidP="00436D84">
      <w:pPr>
        <w:ind w:left="567" w:hanging="567"/>
        <w:rPr>
          <w:color w:val="000000"/>
        </w:rPr>
      </w:pPr>
      <w:r w:rsidRPr="001735C7">
        <w:rPr>
          <w:color w:val="000000"/>
        </w:rPr>
        <w:t>3.1</w:t>
      </w:r>
      <w:r w:rsidRPr="001735C7">
        <w:rPr>
          <w:color w:val="000000"/>
        </w:rPr>
        <w:tab/>
        <w:t xml:space="preserve">In order to access the electronic lodgement facility and entity details facility </w:t>
      </w:r>
      <w:r w:rsidR="00340BA1" w:rsidRPr="001735C7">
        <w:rPr>
          <w:color w:val="000000"/>
        </w:rPr>
        <w:t xml:space="preserve">each user must enter a </w:t>
      </w:r>
      <w:r w:rsidR="00C2721F" w:rsidRPr="001735C7">
        <w:rPr>
          <w:color w:val="000000"/>
        </w:rPr>
        <w:t xml:space="preserve">unique </w:t>
      </w:r>
      <w:r w:rsidR="00340BA1" w:rsidRPr="001735C7">
        <w:rPr>
          <w:color w:val="000000"/>
        </w:rPr>
        <w:t>username and password</w:t>
      </w:r>
      <w:r w:rsidRPr="001735C7">
        <w:rPr>
          <w:color w:val="000000"/>
        </w:rPr>
        <w:t>.</w:t>
      </w:r>
    </w:p>
    <w:p w14:paraId="4A511EB1" w14:textId="77777777" w:rsidR="00764108" w:rsidRPr="001735C7" w:rsidRDefault="00764108" w:rsidP="00436D84">
      <w:pPr>
        <w:ind w:left="567" w:hanging="567"/>
        <w:rPr>
          <w:color w:val="000000"/>
        </w:rPr>
      </w:pPr>
      <w:r w:rsidRPr="001735C7">
        <w:rPr>
          <w:color w:val="000000"/>
        </w:rPr>
        <w:t>3.2</w:t>
      </w:r>
      <w:r w:rsidRPr="001735C7">
        <w:rPr>
          <w:color w:val="000000"/>
        </w:rPr>
        <w:tab/>
        <w:t xml:space="preserve">We </w:t>
      </w:r>
      <w:r w:rsidR="00340BA1" w:rsidRPr="001735C7">
        <w:rPr>
          <w:color w:val="000000"/>
        </w:rPr>
        <w:t xml:space="preserve">will ensure our users do </w:t>
      </w:r>
      <w:r w:rsidRPr="001735C7">
        <w:rPr>
          <w:color w:val="000000"/>
        </w:rPr>
        <w:t xml:space="preserve">not disclose </w:t>
      </w:r>
      <w:r w:rsidR="00340BA1" w:rsidRPr="001735C7">
        <w:rPr>
          <w:color w:val="000000"/>
        </w:rPr>
        <w:t xml:space="preserve">their </w:t>
      </w:r>
      <w:r w:rsidRPr="001735C7">
        <w:rPr>
          <w:color w:val="000000"/>
        </w:rPr>
        <w:t>username</w:t>
      </w:r>
      <w:r w:rsidR="00340BA1" w:rsidRPr="001735C7">
        <w:rPr>
          <w:color w:val="000000"/>
        </w:rPr>
        <w:t xml:space="preserve"> or</w:t>
      </w:r>
      <w:r w:rsidRPr="001735C7">
        <w:rPr>
          <w:color w:val="000000"/>
        </w:rPr>
        <w:t xml:space="preserve"> password to any person not authorised by us to use them.</w:t>
      </w:r>
    </w:p>
    <w:p w14:paraId="71C10A5D" w14:textId="60888D65" w:rsidR="00764108" w:rsidRPr="00343FCB" w:rsidRDefault="00764108" w:rsidP="00343FCB">
      <w:pPr>
        <w:ind w:left="567" w:hanging="567"/>
      </w:pPr>
      <w:r w:rsidRPr="001735C7">
        <w:rPr>
          <w:color w:val="000000"/>
        </w:rPr>
        <w:t>3.5</w:t>
      </w:r>
      <w:r w:rsidRPr="001735C7">
        <w:rPr>
          <w:color w:val="000000"/>
        </w:rPr>
        <w:tab/>
        <w:t xml:space="preserve">If we suspect that </w:t>
      </w:r>
      <w:r w:rsidR="00340BA1" w:rsidRPr="001735C7">
        <w:rPr>
          <w:color w:val="000000"/>
        </w:rPr>
        <w:t xml:space="preserve">a user’s username or password </w:t>
      </w:r>
      <w:r w:rsidRPr="001735C7">
        <w:rPr>
          <w:color w:val="000000"/>
        </w:rPr>
        <w:t xml:space="preserve">has been disclosed to a person not authorised by us to use </w:t>
      </w:r>
      <w:r w:rsidR="00340BA1" w:rsidRPr="001735C7">
        <w:rPr>
          <w:color w:val="000000"/>
        </w:rPr>
        <w:t>ASX Online</w:t>
      </w:r>
      <w:r w:rsidRPr="001735C7">
        <w:rPr>
          <w:color w:val="000000"/>
        </w:rPr>
        <w:t>, we must immediately</w:t>
      </w:r>
      <w:r w:rsidR="000F37B2">
        <w:rPr>
          <w:color w:val="000000"/>
        </w:rPr>
        <w:t xml:space="preserve"> de-activate the user or</w:t>
      </w:r>
      <w:r w:rsidRPr="001735C7">
        <w:rPr>
          <w:color w:val="000000"/>
        </w:rPr>
        <w:t xml:space="preserve"> </w:t>
      </w:r>
      <w:r w:rsidR="00340BA1" w:rsidRPr="001735C7">
        <w:rPr>
          <w:color w:val="000000"/>
        </w:rPr>
        <w:t xml:space="preserve">change the password and </w:t>
      </w:r>
      <w:r w:rsidRPr="001735C7">
        <w:rPr>
          <w:color w:val="000000"/>
        </w:rPr>
        <w:t xml:space="preserve">notify the ASX Help Desk by telephone and </w:t>
      </w:r>
      <w:r w:rsidR="001B3BE9">
        <w:rPr>
          <w:color w:val="000000"/>
        </w:rPr>
        <w:t>email</w:t>
      </w:r>
      <w:r w:rsidR="001B3BE9" w:rsidRPr="001735C7">
        <w:rPr>
          <w:color w:val="000000"/>
        </w:rPr>
        <w:t xml:space="preserve"> </w:t>
      </w:r>
      <w:r w:rsidRPr="001735C7">
        <w:rPr>
          <w:color w:val="000000"/>
        </w:rPr>
        <w:t>t</w:t>
      </w:r>
      <w:r w:rsidR="009052B7">
        <w:rPr>
          <w:color w:val="000000"/>
        </w:rPr>
        <w:t>o</w:t>
      </w:r>
      <w:r w:rsidRPr="001735C7">
        <w:rPr>
          <w:color w:val="000000"/>
        </w:rPr>
        <w:t xml:space="preserve"> the following number</w:t>
      </w:r>
      <w:r w:rsidR="009052B7">
        <w:rPr>
          <w:color w:val="000000"/>
        </w:rPr>
        <w:t xml:space="preserve"> and email addres</w:t>
      </w:r>
      <w:r w:rsidRPr="001735C7">
        <w:rPr>
          <w:color w:val="000000"/>
        </w:rPr>
        <w:t>s.</w:t>
      </w:r>
    </w:p>
    <w:p w14:paraId="15B794D6" w14:textId="3E1EA24E" w:rsidR="00835161" w:rsidRDefault="00764108" w:rsidP="00436D84">
      <w:pPr>
        <w:ind w:left="1134"/>
        <w:rPr>
          <w:color w:val="000000"/>
        </w:rPr>
      </w:pPr>
      <w:r w:rsidRPr="001735C7">
        <w:rPr>
          <w:color w:val="000000"/>
        </w:rPr>
        <w:t>ASX Online Help Desk</w:t>
      </w:r>
      <w:r w:rsidRPr="001735C7">
        <w:rPr>
          <w:color w:val="000000"/>
        </w:rPr>
        <w:br/>
        <w:t>ASX Limited</w:t>
      </w:r>
      <w:r w:rsidRPr="001735C7">
        <w:rPr>
          <w:color w:val="000000"/>
        </w:rPr>
        <w:br/>
        <w:t>20 Bridge Street</w:t>
      </w:r>
      <w:r w:rsidRPr="001735C7">
        <w:rPr>
          <w:color w:val="000000"/>
        </w:rPr>
        <w:br/>
        <w:t>Sydney</w:t>
      </w:r>
      <w:r w:rsidR="008460B4" w:rsidRPr="001735C7">
        <w:rPr>
          <w:color w:val="000000"/>
        </w:rPr>
        <w:t xml:space="preserve"> </w:t>
      </w:r>
      <w:r w:rsidRPr="001735C7">
        <w:rPr>
          <w:color w:val="000000"/>
        </w:rPr>
        <w:t>NSW</w:t>
      </w:r>
      <w:r w:rsidR="008460B4" w:rsidRPr="001735C7">
        <w:rPr>
          <w:color w:val="000000"/>
        </w:rPr>
        <w:t xml:space="preserve"> </w:t>
      </w:r>
      <w:r w:rsidRPr="001735C7">
        <w:rPr>
          <w:color w:val="000000"/>
        </w:rPr>
        <w:t>2000</w:t>
      </w:r>
    </w:p>
    <w:p w14:paraId="38454F6C" w14:textId="7912F3FF" w:rsidR="00764108" w:rsidRPr="00835161" w:rsidRDefault="00581544" w:rsidP="00581544">
      <w:pPr>
        <w:tabs>
          <w:tab w:val="left" w:pos="1875"/>
        </w:tabs>
      </w:pPr>
      <w:r>
        <w:tab/>
      </w:r>
    </w:p>
    <w:p w14:paraId="3ED5A3BE" w14:textId="77777777" w:rsidR="00764108" w:rsidRPr="001735C7" w:rsidRDefault="00764108" w:rsidP="00436D84">
      <w:pPr>
        <w:ind w:left="1134"/>
        <w:rPr>
          <w:color w:val="000000"/>
        </w:rPr>
      </w:pPr>
      <w:r w:rsidRPr="001735C7">
        <w:rPr>
          <w:color w:val="000000"/>
        </w:rPr>
        <w:lastRenderedPageBreak/>
        <w:t>Ph: 1800 028 302</w:t>
      </w:r>
      <w:r w:rsidRPr="001735C7">
        <w:rPr>
          <w:color w:val="000000"/>
        </w:rPr>
        <w:br/>
      </w:r>
      <w:r w:rsidR="001B3BE9">
        <w:rPr>
          <w:color w:val="000000"/>
        </w:rPr>
        <w:t>Email: asxonline@asx.com.au</w:t>
      </w:r>
    </w:p>
    <w:p w14:paraId="24F78D3C" w14:textId="77777777" w:rsidR="00764108" w:rsidRPr="001735C7" w:rsidRDefault="00764108" w:rsidP="00436D84">
      <w:pPr>
        <w:keepNext/>
        <w:rPr>
          <w:b/>
        </w:rPr>
      </w:pPr>
      <w:r w:rsidRPr="001735C7">
        <w:rPr>
          <w:b/>
        </w:rPr>
        <w:t>Part 4 – Using the electronic lodgement facility and entity details facility</w:t>
      </w:r>
    </w:p>
    <w:p w14:paraId="47F20F23" w14:textId="77777777" w:rsidR="00E04AEC" w:rsidRPr="001735C7" w:rsidRDefault="00764108" w:rsidP="00E04AEC">
      <w:pPr>
        <w:ind w:left="567" w:hanging="567"/>
        <w:rPr>
          <w:color w:val="000000"/>
        </w:rPr>
      </w:pPr>
      <w:r w:rsidRPr="001735C7">
        <w:rPr>
          <w:color w:val="000000"/>
        </w:rPr>
        <w:t>4.1</w:t>
      </w:r>
      <w:r w:rsidRPr="001735C7">
        <w:rPr>
          <w:color w:val="000000"/>
        </w:rPr>
        <w:tab/>
        <w:t>We agree to comply with all directions issued by ASX which relate to access and use of the electronic lodgement facility or entity details facility.</w:t>
      </w:r>
    </w:p>
    <w:p w14:paraId="2C3B917A" w14:textId="77777777" w:rsidR="00764108" w:rsidRPr="001735C7" w:rsidRDefault="00764108" w:rsidP="00436D84">
      <w:pPr>
        <w:ind w:left="567" w:hanging="567"/>
        <w:rPr>
          <w:color w:val="000000"/>
        </w:rPr>
      </w:pPr>
      <w:r w:rsidRPr="001735C7">
        <w:rPr>
          <w:color w:val="000000"/>
        </w:rPr>
        <w:t>4.2</w:t>
      </w:r>
      <w:r w:rsidRPr="001735C7">
        <w:rPr>
          <w:color w:val="000000"/>
        </w:rPr>
        <w:tab/>
        <w:t>ASX is not obliged to provide training in use of the electronic lodgement facility or entity details facility. We acknowledge that if ASX does provide any training to us, ASX takes no responsibility for that training.</w:t>
      </w:r>
    </w:p>
    <w:p w14:paraId="0448AE0C" w14:textId="77777777" w:rsidR="00764108" w:rsidRPr="001735C7" w:rsidRDefault="00764108" w:rsidP="00436D84">
      <w:pPr>
        <w:keepNext/>
        <w:rPr>
          <w:b/>
        </w:rPr>
      </w:pPr>
      <w:r w:rsidRPr="001735C7">
        <w:rPr>
          <w:b/>
        </w:rPr>
        <w:t>Part 5 – Acknowledgment of release</w:t>
      </w:r>
    </w:p>
    <w:p w14:paraId="7349A2BA" w14:textId="77777777" w:rsidR="00764108" w:rsidRPr="001735C7" w:rsidRDefault="00764108" w:rsidP="00436D84">
      <w:pPr>
        <w:ind w:left="567" w:hanging="567"/>
        <w:rPr>
          <w:color w:val="000000"/>
        </w:rPr>
      </w:pPr>
      <w:r w:rsidRPr="001735C7">
        <w:rPr>
          <w:color w:val="000000"/>
        </w:rPr>
        <w:t>5.1</w:t>
      </w:r>
      <w:r w:rsidRPr="001735C7">
        <w:rPr>
          <w:color w:val="000000"/>
        </w:rPr>
        <w:tab/>
        <w:t xml:space="preserve">After an </w:t>
      </w:r>
      <w:proofErr w:type="spellStart"/>
      <w:r w:rsidRPr="001735C7">
        <w:rPr>
          <w:color w:val="000000"/>
        </w:rPr>
        <w:t>eLodged</w:t>
      </w:r>
      <w:proofErr w:type="spellEnd"/>
      <w:r w:rsidRPr="001735C7">
        <w:rPr>
          <w:color w:val="000000"/>
        </w:rPr>
        <w:t xml:space="preserve"> document has been released to the market, ASX will </w:t>
      </w:r>
      <w:r w:rsidR="000F0CC1" w:rsidRPr="001735C7">
        <w:rPr>
          <w:color w:val="000000"/>
        </w:rPr>
        <w:t>email an acknowledgment of release to the email address or addresses nominated by us using the entity details facility</w:t>
      </w:r>
      <w:r w:rsidRPr="001735C7">
        <w:rPr>
          <w:color w:val="000000"/>
        </w:rPr>
        <w:t>.</w:t>
      </w:r>
    </w:p>
    <w:p w14:paraId="6AF4A564" w14:textId="77777777" w:rsidR="00764108" w:rsidRPr="001735C7" w:rsidRDefault="00764108" w:rsidP="00436D84">
      <w:pPr>
        <w:keepNext/>
        <w:rPr>
          <w:b/>
        </w:rPr>
      </w:pPr>
      <w:r w:rsidRPr="001735C7">
        <w:rPr>
          <w:b/>
        </w:rPr>
        <w:t>Part 6 – Nominating an email address for acknowledgment</w:t>
      </w:r>
    </w:p>
    <w:p w14:paraId="4679D5DA" w14:textId="77777777" w:rsidR="00764108" w:rsidRPr="001735C7" w:rsidRDefault="00764108" w:rsidP="00436D84">
      <w:pPr>
        <w:ind w:left="567" w:hanging="567"/>
        <w:rPr>
          <w:color w:val="000000"/>
        </w:rPr>
      </w:pPr>
      <w:r w:rsidRPr="001735C7">
        <w:rPr>
          <w:color w:val="000000"/>
        </w:rPr>
        <w:t>6.1</w:t>
      </w:r>
      <w:r w:rsidRPr="001735C7">
        <w:rPr>
          <w:color w:val="000000"/>
        </w:rPr>
        <w:tab/>
        <w:t xml:space="preserve">Before </w:t>
      </w:r>
      <w:proofErr w:type="spellStart"/>
      <w:r w:rsidRPr="001735C7">
        <w:rPr>
          <w:color w:val="000000"/>
        </w:rPr>
        <w:t>eLodging</w:t>
      </w:r>
      <w:proofErr w:type="spellEnd"/>
      <w:r w:rsidRPr="001735C7">
        <w:rPr>
          <w:color w:val="000000"/>
        </w:rPr>
        <w:t xml:space="preserve"> a document we must nominate an email address or addresses using the entity details facility.</w:t>
      </w:r>
    </w:p>
    <w:p w14:paraId="4B0DF505" w14:textId="77777777" w:rsidR="00764108" w:rsidRPr="001735C7" w:rsidRDefault="00764108" w:rsidP="00436D84">
      <w:pPr>
        <w:keepNext/>
        <w:rPr>
          <w:b/>
        </w:rPr>
      </w:pPr>
      <w:r w:rsidRPr="001735C7">
        <w:rPr>
          <w:b/>
        </w:rPr>
        <w:t xml:space="preserve">Part 7 – </w:t>
      </w:r>
      <w:smartTag w:uri="urn:schemas-microsoft-com:office:smarttags" w:element="country-region">
        <w:r w:rsidRPr="001735C7">
          <w:rPr>
            <w:b/>
          </w:rPr>
          <w:t>Compliance</w:t>
        </w:r>
      </w:smartTag>
      <w:r w:rsidRPr="001735C7">
        <w:rPr>
          <w:b/>
        </w:rPr>
        <w:t xml:space="preserve"> with the Privacy Act 1988 (</w:t>
      </w:r>
      <w:proofErr w:type="spellStart"/>
      <w:r w:rsidRPr="001735C7">
        <w:rPr>
          <w:b/>
        </w:rPr>
        <w:t>Cth</w:t>
      </w:r>
      <w:proofErr w:type="spellEnd"/>
      <w:r w:rsidRPr="001735C7">
        <w:rPr>
          <w:b/>
        </w:rPr>
        <w:t>)</w:t>
      </w:r>
    </w:p>
    <w:p w14:paraId="717D9F13" w14:textId="77777777" w:rsidR="00764108" w:rsidRPr="001735C7" w:rsidRDefault="00764108" w:rsidP="00436D84">
      <w:pPr>
        <w:ind w:left="567" w:hanging="567"/>
        <w:rPr>
          <w:color w:val="000000"/>
        </w:rPr>
      </w:pPr>
      <w:r w:rsidRPr="001735C7">
        <w:rPr>
          <w:color w:val="000000"/>
        </w:rPr>
        <w:t>7.1</w:t>
      </w:r>
      <w:r w:rsidRPr="001735C7">
        <w:rPr>
          <w:color w:val="000000"/>
        </w:rPr>
        <w:tab/>
        <w:t>We acknowledge that documents given to ASX via the electronic lodgement facility and/or the entity details facility, may contain personal information about individuals, such as directors or employees of the listed entity</w:t>
      </w:r>
      <w:r w:rsidR="0008477B" w:rsidRPr="0008477B">
        <w:rPr>
          <w:color w:val="000000"/>
        </w:rPr>
        <w:t>, AQUA Product Issuer or Warrant-Issuer (as applicable)</w:t>
      </w:r>
      <w:r w:rsidRPr="001735C7">
        <w:rPr>
          <w:color w:val="000000"/>
        </w:rPr>
        <w:t>.</w:t>
      </w:r>
    </w:p>
    <w:p w14:paraId="7B4C8912" w14:textId="77777777" w:rsidR="00764108" w:rsidRPr="001735C7" w:rsidRDefault="00764108" w:rsidP="00436D84">
      <w:pPr>
        <w:ind w:left="567" w:hanging="567"/>
        <w:rPr>
          <w:color w:val="000000"/>
        </w:rPr>
      </w:pPr>
      <w:r w:rsidRPr="001735C7">
        <w:rPr>
          <w:color w:val="000000"/>
        </w:rPr>
        <w:t>7.2</w:t>
      </w:r>
      <w:r w:rsidRPr="001735C7">
        <w:rPr>
          <w:color w:val="000000"/>
        </w:rPr>
        <w:tab/>
        <w:t xml:space="preserve">We agree that unless otherwise directed by ASX, we will take all reasonable steps to ensure individuals whose personal information we disclose to ASX via the electronic lodgement facility and/or the entity details facility, are aware of the following </w:t>
      </w:r>
      <w:proofErr w:type="gramStart"/>
      <w:r w:rsidRPr="001735C7">
        <w:rPr>
          <w:color w:val="000000"/>
        </w:rPr>
        <w:t>information:-</w:t>
      </w:r>
      <w:proofErr w:type="gramEnd"/>
    </w:p>
    <w:p w14:paraId="42336A68" w14:textId="77777777" w:rsidR="00764108" w:rsidRPr="001735C7" w:rsidRDefault="00764108" w:rsidP="00436D84">
      <w:pPr>
        <w:ind w:left="1134" w:hanging="567"/>
        <w:rPr>
          <w:color w:val="000000"/>
        </w:rPr>
      </w:pPr>
      <w:r w:rsidRPr="001735C7">
        <w:rPr>
          <w:color w:val="000000"/>
        </w:rPr>
        <w:t>(a)</w:t>
      </w:r>
      <w:r w:rsidRPr="001735C7">
        <w:rPr>
          <w:color w:val="000000"/>
        </w:rPr>
        <w:tab/>
        <w:t>the personal information has primarily been collected by ASX for the purpose for which the listed entity</w:t>
      </w:r>
      <w:r w:rsidR="0008477B" w:rsidRPr="0008477B">
        <w:rPr>
          <w:color w:val="000000"/>
        </w:rPr>
        <w:t>, AQUA Product Issuer or Warrant-Issuer (as applicable)</w:t>
      </w:r>
      <w:r w:rsidRPr="001735C7">
        <w:rPr>
          <w:color w:val="000000"/>
        </w:rPr>
        <w:t xml:space="preserve"> provided it and may have been collected by ASX pursuant to the Corporations Act 2001 (</w:t>
      </w:r>
      <w:proofErr w:type="spellStart"/>
      <w:r w:rsidRPr="001735C7">
        <w:rPr>
          <w:color w:val="000000"/>
        </w:rPr>
        <w:t>Cth</w:t>
      </w:r>
      <w:proofErr w:type="spellEnd"/>
      <w:r w:rsidRPr="001735C7">
        <w:rPr>
          <w:color w:val="000000"/>
        </w:rPr>
        <w:t>) and/or the ASX Listing Rules</w:t>
      </w:r>
      <w:r w:rsidR="006256BF" w:rsidRPr="006256BF">
        <w:t xml:space="preserve"> </w:t>
      </w:r>
      <w:r w:rsidR="006256BF" w:rsidRPr="006256BF">
        <w:rPr>
          <w:color w:val="000000"/>
        </w:rPr>
        <w:t>and/or the ASX Operating Rules (as applicable</w:t>
      </w:r>
      <w:proofErr w:type="gramStart"/>
      <w:r w:rsidR="006256BF" w:rsidRPr="006256BF">
        <w:rPr>
          <w:color w:val="000000"/>
        </w:rPr>
        <w:t>)</w:t>
      </w:r>
      <w:r w:rsidRPr="001735C7">
        <w:rPr>
          <w:color w:val="000000"/>
        </w:rPr>
        <w:t>;</w:t>
      </w:r>
      <w:proofErr w:type="gramEnd"/>
    </w:p>
    <w:p w14:paraId="4985DCCA" w14:textId="77777777" w:rsidR="00764108" w:rsidRPr="001735C7" w:rsidRDefault="00764108" w:rsidP="00436D84">
      <w:pPr>
        <w:ind w:left="1134" w:hanging="567"/>
        <w:rPr>
          <w:color w:val="000000"/>
        </w:rPr>
      </w:pPr>
      <w:r w:rsidRPr="001735C7">
        <w:rPr>
          <w:color w:val="000000"/>
        </w:rPr>
        <w:t>(b)</w:t>
      </w:r>
      <w:r w:rsidRPr="001735C7">
        <w:rPr>
          <w:color w:val="000000"/>
        </w:rPr>
        <w:tab/>
        <w:t>a failure to provide the personal information may result in the listed entity</w:t>
      </w:r>
      <w:r w:rsidR="006256BF" w:rsidRPr="006256BF">
        <w:rPr>
          <w:color w:val="000000"/>
        </w:rPr>
        <w:t>, AQUA Product Issuer or Warrant-Issuer (as applicable)</w:t>
      </w:r>
      <w:r w:rsidRPr="001735C7">
        <w:rPr>
          <w:color w:val="000000"/>
        </w:rPr>
        <w:t xml:space="preserve"> being in breach of the Corporations Act 2001 (</w:t>
      </w:r>
      <w:proofErr w:type="spellStart"/>
      <w:r w:rsidRPr="001735C7">
        <w:rPr>
          <w:color w:val="000000"/>
        </w:rPr>
        <w:t>Cth</w:t>
      </w:r>
      <w:proofErr w:type="spellEnd"/>
      <w:r w:rsidRPr="001735C7">
        <w:rPr>
          <w:color w:val="000000"/>
        </w:rPr>
        <w:t>) and/or the ASX Listing Rules</w:t>
      </w:r>
      <w:r w:rsidR="006256BF" w:rsidRPr="006256BF">
        <w:t xml:space="preserve"> </w:t>
      </w:r>
      <w:r w:rsidR="006256BF" w:rsidRPr="006256BF">
        <w:rPr>
          <w:color w:val="000000"/>
        </w:rPr>
        <w:t>and/or the ASX Operating Rules (as applicable</w:t>
      </w:r>
      <w:proofErr w:type="gramStart"/>
      <w:r w:rsidR="006256BF" w:rsidRPr="006256BF">
        <w:rPr>
          <w:color w:val="000000"/>
        </w:rPr>
        <w:t>)</w:t>
      </w:r>
      <w:r w:rsidRPr="001735C7">
        <w:rPr>
          <w:color w:val="000000"/>
        </w:rPr>
        <w:t>;</w:t>
      </w:r>
      <w:proofErr w:type="gramEnd"/>
    </w:p>
    <w:p w14:paraId="2F741663" w14:textId="77777777" w:rsidR="00764108" w:rsidRPr="001735C7" w:rsidRDefault="00764108" w:rsidP="00436D84">
      <w:pPr>
        <w:ind w:left="1134" w:hanging="567"/>
        <w:rPr>
          <w:color w:val="000000"/>
        </w:rPr>
      </w:pPr>
      <w:r w:rsidRPr="001735C7">
        <w:rPr>
          <w:color w:val="000000"/>
        </w:rPr>
        <w:t>(c)</w:t>
      </w:r>
      <w:r w:rsidRPr="001735C7">
        <w:rPr>
          <w:color w:val="000000"/>
        </w:rPr>
        <w:tab/>
        <w:t>ASX may be required to disclose the personal information to ASIC pursuant to the Corporations Act 2001 (</w:t>
      </w:r>
      <w:proofErr w:type="spellStart"/>
      <w:r w:rsidRPr="001735C7">
        <w:rPr>
          <w:color w:val="000000"/>
        </w:rPr>
        <w:t>Cth</w:t>
      </w:r>
      <w:proofErr w:type="spellEnd"/>
      <w:r w:rsidRPr="001735C7">
        <w:rPr>
          <w:color w:val="000000"/>
        </w:rPr>
        <w:t>). Users of the electronic lodgement facility and/or the entity details facility may also be able to view personal information of relevant individuals that relates to the listed entity</w:t>
      </w:r>
      <w:r w:rsidR="006256BF" w:rsidRPr="006256BF">
        <w:rPr>
          <w:color w:val="000000"/>
        </w:rPr>
        <w:t>, AQUA Product Issuer or Warrant-Issuer (as applicable)</w:t>
      </w:r>
      <w:r w:rsidRPr="001735C7">
        <w:rPr>
          <w:color w:val="000000"/>
        </w:rPr>
        <w:t xml:space="preserve"> via a search facility. ASX will not otherwise disclose the personal information that is collected to any other organisation or individuals unless the relevant individual consents or ASX is permitted to do so under the Privacy Act 1988 (</w:t>
      </w:r>
      <w:proofErr w:type="spellStart"/>
      <w:r w:rsidRPr="001735C7">
        <w:rPr>
          <w:color w:val="000000"/>
        </w:rPr>
        <w:t>Cth</w:t>
      </w:r>
      <w:proofErr w:type="spellEnd"/>
      <w:r w:rsidRPr="001735C7">
        <w:rPr>
          <w:color w:val="000000"/>
        </w:rPr>
        <w:t>); and</w:t>
      </w:r>
    </w:p>
    <w:p w14:paraId="138BA81D" w14:textId="6886BDE8" w:rsidR="00764108" w:rsidRPr="001735C7" w:rsidRDefault="00764108" w:rsidP="00436D84">
      <w:pPr>
        <w:ind w:left="1134" w:hanging="567"/>
        <w:rPr>
          <w:color w:val="000000"/>
        </w:rPr>
      </w:pPr>
      <w:r w:rsidRPr="001735C7">
        <w:rPr>
          <w:color w:val="000000"/>
        </w:rPr>
        <w:t>(d)</w:t>
      </w:r>
      <w:r w:rsidRPr="001735C7">
        <w:rPr>
          <w:color w:val="000000"/>
        </w:rPr>
        <w:tab/>
        <w:t xml:space="preserve">the individual can seek access to personal information provided to ASX via the electronic lodgement facility and the entity details facility by contacting the ASX Privacy Officer </w:t>
      </w:r>
      <w:r w:rsidR="00AB3F38">
        <w:rPr>
          <w:color w:val="000000"/>
        </w:rPr>
        <w:t xml:space="preserve">at the contact details set out in the ASX Privacy Statement available on our website. </w:t>
      </w:r>
    </w:p>
    <w:p w14:paraId="6FBD1355" w14:textId="77777777" w:rsidR="00764108" w:rsidRPr="001735C7" w:rsidRDefault="00764108" w:rsidP="00436D84">
      <w:pPr>
        <w:ind w:left="567" w:hanging="567"/>
        <w:rPr>
          <w:color w:val="000000"/>
        </w:rPr>
      </w:pPr>
      <w:r w:rsidRPr="001735C7">
        <w:rPr>
          <w:color w:val="000000"/>
        </w:rPr>
        <w:t>7.3</w:t>
      </w:r>
      <w:r w:rsidRPr="001735C7">
        <w:rPr>
          <w:color w:val="000000"/>
        </w:rPr>
        <w:tab/>
        <w:t>We acknowledge that ASX will rely on the accuracy, completeness and currency of any personal information that we provide to ASX via the electronic lodgement facility and the entity details facility.</w:t>
      </w:r>
    </w:p>
    <w:p w14:paraId="439BA9ED" w14:textId="77777777" w:rsidR="00764108" w:rsidRDefault="00764108" w:rsidP="00436D84">
      <w:pPr>
        <w:ind w:left="567" w:hanging="567"/>
        <w:rPr>
          <w:color w:val="000000"/>
        </w:rPr>
      </w:pPr>
      <w:r w:rsidRPr="001735C7">
        <w:rPr>
          <w:color w:val="000000"/>
        </w:rPr>
        <w:t>7.4</w:t>
      </w:r>
      <w:r w:rsidRPr="001735C7">
        <w:rPr>
          <w:color w:val="000000"/>
        </w:rPr>
        <w:tab/>
        <w:t>We will use our best endeavours to contact ASX if any of the personal information provided to ASX via the electronic lodgement facility and/or the entity details facility should change.</w:t>
      </w:r>
    </w:p>
    <w:p w14:paraId="1E3BBE5F" w14:textId="07B017F0" w:rsidR="00AB3F38" w:rsidRPr="001735C7" w:rsidRDefault="00AB3F38" w:rsidP="00436D84">
      <w:pPr>
        <w:ind w:left="567" w:hanging="567"/>
        <w:rPr>
          <w:color w:val="000000"/>
        </w:rPr>
      </w:pPr>
      <w:r>
        <w:rPr>
          <w:color w:val="000000"/>
        </w:rPr>
        <w:t>7.5</w:t>
      </w:r>
      <w:r>
        <w:rPr>
          <w:color w:val="000000"/>
        </w:rPr>
        <w:tab/>
        <w:t xml:space="preserve">We agree to ensure that any personal information disclosed to ASX through the electronic lodgement facility for publication to the market is appropriately given to ASX under the Corporations Act, Listing Rules and/or Operating Rules (as applicable). </w:t>
      </w:r>
    </w:p>
    <w:p w14:paraId="45D2C14A" w14:textId="77777777" w:rsidR="00764108" w:rsidRPr="001735C7" w:rsidRDefault="00764108" w:rsidP="00436D84">
      <w:pPr>
        <w:keepNext/>
        <w:rPr>
          <w:b/>
        </w:rPr>
      </w:pPr>
      <w:r w:rsidRPr="001735C7">
        <w:rPr>
          <w:b/>
        </w:rPr>
        <w:lastRenderedPageBreak/>
        <w:t>Part 8 – Notices</w:t>
      </w:r>
    </w:p>
    <w:p w14:paraId="414E05B4" w14:textId="77777777" w:rsidR="00764108" w:rsidRPr="001735C7" w:rsidRDefault="00764108" w:rsidP="00436D84">
      <w:pPr>
        <w:ind w:left="567" w:hanging="567"/>
        <w:rPr>
          <w:color w:val="000000"/>
        </w:rPr>
      </w:pPr>
      <w:r w:rsidRPr="001735C7">
        <w:rPr>
          <w:color w:val="000000"/>
        </w:rPr>
        <w:t>8.1</w:t>
      </w:r>
      <w:r w:rsidRPr="001735C7">
        <w:rPr>
          <w:color w:val="000000"/>
        </w:rPr>
        <w:tab/>
        <w:t>Unless otherwise specified in this agreement, to give a notice to ASX under this agreement, we must tell ASX in writing at the following facsimile number.</w:t>
      </w:r>
    </w:p>
    <w:p w14:paraId="693DB1B7" w14:textId="77777777" w:rsidR="00764108" w:rsidRPr="001735C7" w:rsidRDefault="00764108" w:rsidP="00AA0ED3">
      <w:pPr>
        <w:ind w:left="1134"/>
        <w:jc w:val="left"/>
        <w:rPr>
          <w:color w:val="000000"/>
        </w:rPr>
      </w:pPr>
      <w:r w:rsidRPr="001735C7">
        <w:rPr>
          <w:color w:val="000000"/>
        </w:rPr>
        <w:t>ASX Online Help Desk</w:t>
      </w:r>
      <w:r w:rsidRPr="001735C7">
        <w:rPr>
          <w:color w:val="000000"/>
        </w:rPr>
        <w:br/>
        <w:t>ASX Limited</w:t>
      </w:r>
      <w:r w:rsidRPr="001735C7">
        <w:rPr>
          <w:color w:val="000000"/>
        </w:rPr>
        <w:br/>
        <w:t>20 Bridge Street</w:t>
      </w:r>
      <w:r w:rsidRPr="001735C7">
        <w:rPr>
          <w:color w:val="000000"/>
        </w:rPr>
        <w:br/>
        <w:t>Sydney</w:t>
      </w:r>
      <w:r w:rsidR="008460B4" w:rsidRPr="001735C7">
        <w:rPr>
          <w:color w:val="000000"/>
        </w:rPr>
        <w:t xml:space="preserve"> </w:t>
      </w:r>
      <w:r w:rsidRPr="001735C7">
        <w:rPr>
          <w:color w:val="000000"/>
        </w:rPr>
        <w:t>NSW</w:t>
      </w:r>
      <w:r w:rsidR="008460B4" w:rsidRPr="001735C7">
        <w:rPr>
          <w:color w:val="000000"/>
        </w:rPr>
        <w:t xml:space="preserve"> </w:t>
      </w:r>
      <w:r w:rsidRPr="001735C7">
        <w:rPr>
          <w:color w:val="000000"/>
        </w:rPr>
        <w:t>2000</w:t>
      </w:r>
    </w:p>
    <w:p w14:paraId="7ED7A5D3" w14:textId="77777777" w:rsidR="00764108" w:rsidRPr="001735C7" w:rsidRDefault="00764108" w:rsidP="00AA0ED3">
      <w:pPr>
        <w:ind w:left="1134"/>
        <w:jc w:val="left"/>
        <w:rPr>
          <w:color w:val="000000"/>
        </w:rPr>
      </w:pPr>
      <w:r w:rsidRPr="001735C7">
        <w:rPr>
          <w:color w:val="000000"/>
        </w:rPr>
        <w:t>Ph: 1800 028 302</w:t>
      </w:r>
      <w:r w:rsidRPr="001735C7">
        <w:rPr>
          <w:color w:val="000000"/>
        </w:rPr>
        <w:br/>
        <w:t>Fax: (02) 9227 0885</w:t>
      </w:r>
    </w:p>
    <w:p w14:paraId="32018285" w14:textId="77777777" w:rsidR="00764108" w:rsidRPr="001735C7" w:rsidRDefault="00764108" w:rsidP="00436D84">
      <w:pPr>
        <w:ind w:left="567" w:hanging="567"/>
        <w:rPr>
          <w:color w:val="000000"/>
        </w:rPr>
      </w:pPr>
      <w:r w:rsidRPr="001735C7">
        <w:rPr>
          <w:color w:val="000000"/>
        </w:rPr>
        <w:t>8.2</w:t>
      </w:r>
      <w:r w:rsidRPr="001735C7">
        <w:rPr>
          <w:color w:val="000000"/>
        </w:rPr>
        <w:tab/>
        <w:t xml:space="preserve">Unless otherwise specified in this agreement, to give a notice to us under this agreement, ASX must tell us in writing at the facsimile number given to ASX under </w:t>
      </w:r>
      <w:r w:rsidR="0013225C">
        <w:rPr>
          <w:color w:val="000000"/>
        </w:rPr>
        <w:t>ASX L</w:t>
      </w:r>
      <w:r w:rsidRPr="001735C7">
        <w:rPr>
          <w:color w:val="000000"/>
        </w:rPr>
        <w:t xml:space="preserve">isting </w:t>
      </w:r>
      <w:r w:rsidR="0013225C">
        <w:rPr>
          <w:color w:val="000000"/>
        </w:rPr>
        <w:t>R</w:t>
      </w:r>
      <w:r w:rsidRPr="001735C7">
        <w:rPr>
          <w:color w:val="000000"/>
        </w:rPr>
        <w:t>ule 3.14</w:t>
      </w:r>
      <w:r w:rsidR="0013225C" w:rsidRPr="0013225C">
        <w:t xml:space="preserve"> </w:t>
      </w:r>
      <w:r w:rsidR="0013225C" w:rsidRPr="0013225C">
        <w:rPr>
          <w:color w:val="000000"/>
        </w:rPr>
        <w:t>or ASX Operating Rule 6901 (as applicable)</w:t>
      </w:r>
      <w:r w:rsidRPr="001735C7">
        <w:rPr>
          <w:color w:val="000000"/>
        </w:rPr>
        <w:t>.</w:t>
      </w:r>
    </w:p>
    <w:p w14:paraId="7EF8ED52" w14:textId="77777777" w:rsidR="00764108" w:rsidRPr="001735C7" w:rsidRDefault="00764108" w:rsidP="00436D84">
      <w:pPr>
        <w:ind w:left="567" w:hanging="567"/>
        <w:rPr>
          <w:color w:val="000000"/>
        </w:rPr>
      </w:pPr>
      <w:r w:rsidRPr="001735C7">
        <w:rPr>
          <w:color w:val="000000"/>
        </w:rPr>
        <w:t>8.3</w:t>
      </w:r>
      <w:r w:rsidRPr="001735C7">
        <w:rPr>
          <w:color w:val="000000"/>
        </w:rPr>
        <w:tab/>
        <w:t>A notice is taken to be given on production of a transmission report by the machine from which the facsimile was sent which indicates that the facsimile was sent in its entirety to the facsimile number of the recipient.</w:t>
      </w:r>
    </w:p>
    <w:p w14:paraId="2EB56E28" w14:textId="77777777" w:rsidR="00764108" w:rsidRPr="001735C7" w:rsidRDefault="00764108" w:rsidP="00C2721F">
      <w:pPr>
        <w:keepNext/>
        <w:jc w:val="left"/>
        <w:rPr>
          <w:b/>
          <w:color w:val="000000"/>
          <w:szCs w:val="22"/>
        </w:rPr>
      </w:pPr>
      <w:r w:rsidRPr="001735C7">
        <w:rPr>
          <w:b/>
          <w:color w:val="000000"/>
          <w:szCs w:val="22"/>
        </w:rPr>
        <w:t>PLEASE NOTE:</w:t>
      </w:r>
    </w:p>
    <w:p w14:paraId="014FC8AE" w14:textId="77777777" w:rsidR="00764108" w:rsidRPr="001735C7" w:rsidRDefault="00764108" w:rsidP="00C2721F">
      <w:pPr>
        <w:keepNext/>
        <w:jc w:val="left"/>
        <w:rPr>
          <w:b/>
          <w:color w:val="000000"/>
          <w:szCs w:val="22"/>
        </w:rPr>
      </w:pPr>
      <w:r w:rsidRPr="001735C7">
        <w:rPr>
          <w:b/>
          <w:color w:val="000000"/>
          <w:szCs w:val="22"/>
        </w:rPr>
        <w:t>On completion of the Agreement, please forward to:</w:t>
      </w:r>
    </w:p>
    <w:p w14:paraId="6CD26E03" w14:textId="77777777" w:rsidR="00764108" w:rsidRPr="00B04544" w:rsidRDefault="00764108" w:rsidP="00AA0ED3">
      <w:pPr>
        <w:ind w:left="567"/>
        <w:jc w:val="left"/>
        <w:rPr>
          <w:b/>
          <w:szCs w:val="22"/>
        </w:rPr>
      </w:pPr>
      <w:r w:rsidRPr="001735C7">
        <w:rPr>
          <w:b/>
          <w:color w:val="000000"/>
          <w:szCs w:val="22"/>
        </w:rPr>
        <w:t>ASX Online Help Desk</w:t>
      </w:r>
      <w:r w:rsidRPr="001735C7">
        <w:rPr>
          <w:b/>
          <w:color w:val="000000"/>
          <w:szCs w:val="22"/>
        </w:rPr>
        <w:br/>
      </w:r>
      <w:r w:rsidRPr="009A214E">
        <w:rPr>
          <w:b/>
          <w:color w:val="000000"/>
          <w:sz w:val="20"/>
          <w:szCs w:val="22"/>
        </w:rPr>
        <w:t>ASX Limited</w:t>
      </w:r>
      <w:r w:rsidRPr="001735C7">
        <w:rPr>
          <w:b/>
          <w:color w:val="000000"/>
          <w:szCs w:val="22"/>
        </w:rPr>
        <w:br/>
        <w:t>20 Bridge Street</w:t>
      </w:r>
      <w:r w:rsidRPr="001735C7">
        <w:rPr>
          <w:b/>
          <w:color w:val="000000"/>
          <w:szCs w:val="22"/>
        </w:rPr>
        <w:br/>
        <w:t>SYDNEY</w:t>
      </w:r>
      <w:r w:rsidR="008460B4" w:rsidRPr="001735C7">
        <w:rPr>
          <w:b/>
          <w:color w:val="000000"/>
          <w:szCs w:val="22"/>
        </w:rPr>
        <w:t xml:space="preserve"> </w:t>
      </w:r>
      <w:r w:rsidRPr="001735C7">
        <w:rPr>
          <w:b/>
          <w:color w:val="000000"/>
          <w:szCs w:val="22"/>
        </w:rPr>
        <w:t>NSW</w:t>
      </w:r>
      <w:r w:rsidR="008460B4" w:rsidRPr="001735C7">
        <w:rPr>
          <w:b/>
          <w:color w:val="000000"/>
          <w:szCs w:val="22"/>
        </w:rPr>
        <w:t xml:space="preserve"> </w:t>
      </w:r>
      <w:r w:rsidRPr="001735C7">
        <w:rPr>
          <w:b/>
          <w:color w:val="000000"/>
          <w:szCs w:val="22"/>
        </w:rPr>
        <w:t>2000</w:t>
      </w:r>
    </w:p>
    <w:sectPr w:rsidR="00764108" w:rsidRPr="00B04544" w:rsidSect="00036E6D">
      <w:footerReference w:type="default" r:id="rId11"/>
      <w:endnotePr>
        <w:numFmt w:val="decimal"/>
      </w:endnotePr>
      <w:pgSz w:w="11906" w:h="16838" w:code="9"/>
      <w:pgMar w:top="1418" w:right="1418" w:bottom="680" w:left="1418"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5981" w14:textId="77777777" w:rsidR="00206EC9" w:rsidRDefault="00206EC9" w:rsidP="00BD15F6">
      <w:r>
        <w:separator/>
      </w:r>
    </w:p>
  </w:endnote>
  <w:endnote w:type="continuationSeparator" w:id="0">
    <w:p w14:paraId="02453B9E" w14:textId="77777777" w:rsidR="00206EC9" w:rsidRDefault="00206EC9" w:rsidP="00BD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lassGarmnd BT">
    <w:altName w:val="Constant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1E43" w14:textId="217D5396" w:rsidR="00435F8A" w:rsidRPr="008460B4" w:rsidRDefault="00435F8A" w:rsidP="00835161">
    <w:pPr>
      <w:pStyle w:val="Footer"/>
      <w:pBdr>
        <w:top w:val="single" w:sz="4" w:space="1" w:color="auto"/>
      </w:pBdr>
      <w:rPr>
        <w:rFonts w:ascii="Arial Narrow" w:hAnsi="Arial Narrow"/>
      </w:rPr>
    </w:pPr>
    <w:r w:rsidRPr="008460B4">
      <w:rPr>
        <w:rFonts w:ascii="Arial Narrow" w:hAnsi="Arial Narrow"/>
      </w:rPr>
      <w:t xml:space="preserve">ASX </w:t>
    </w:r>
    <w:r w:rsidR="00036E6D">
      <w:rPr>
        <w:rFonts w:ascii="Arial Narrow" w:hAnsi="Arial Narrow"/>
      </w:rPr>
      <w:t>Online Agreement</w:t>
    </w:r>
    <w:r w:rsidR="00835161">
      <w:rPr>
        <w:rFonts w:ascii="Arial Narrow" w:hAnsi="Arial Narrow"/>
      </w:rPr>
      <w:t xml:space="preserve"> (effective </w:t>
    </w:r>
    <w:r w:rsidR="0016373C">
      <w:rPr>
        <w:rFonts w:ascii="Arial Narrow" w:hAnsi="Arial Narrow"/>
      </w:rPr>
      <w:t>26 June 2025</w:t>
    </w:r>
    <w:r w:rsidR="00835161">
      <w:rPr>
        <w:rFonts w:ascii="Arial Narrow" w:hAnsi="Arial Narrow"/>
      </w:rPr>
      <w:t>)</w:t>
    </w:r>
    <w:r w:rsidRPr="008460B4">
      <w:rPr>
        <w:rFonts w:ascii="Arial Narrow" w:hAnsi="Arial Narrow"/>
      </w:rPr>
      <w:tab/>
    </w:r>
    <w:r w:rsidRPr="008460B4">
      <w:rPr>
        <w:rFonts w:ascii="Arial Narrow" w:hAnsi="Arial Narrow"/>
      </w:rPr>
      <w:tab/>
      <w:t xml:space="preserve">Page </w:t>
    </w:r>
    <w:r w:rsidRPr="008460B4">
      <w:rPr>
        <w:rStyle w:val="PageNumber"/>
        <w:rFonts w:ascii="Arial Narrow" w:hAnsi="Arial Narrow"/>
      </w:rPr>
      <w:fldChar w:fldCharType="begin"/>
    </w:r>
    <w:r w:rsidRPr="008460B4">
      <w:rPr>
        <w:rStyle w:val="PageNumber"/>
        <w:rFonts w:ascii="Arial Narrow" w:hAnsi="Arial Narrow"/>
      </w:rPr>
      <w:instrText xml:space="preserve"> PAGE </w:instrText>
    </w:r>
    <w:r w:rsidRPr="008460B4">
      <w:rPr>
        <w:rStyle w:val="PageNumber"/>
        <w:rFonts w:ascii="Arial Narrow" w:hAnsi="Arial Narrow"/>
      </w:rPr>
      <w:fldChar w:fldCharType="separate"/>
    </w:r>
    <w:r w:rsidR="00835161">
      <w:rPr>
        <w:rStyle w:val="PageNumber"/>
        <w:rFonts w:ascii="Arial Narrow" w:hAnsi="Arial Narrow"/>
        <w:noProof/>
      </w:rPr>
      <w:t>3</w:t>
    </w:r>
    <w:r w:rsidRPr="008460B4">
      <w:rPr>
        <w:rStyle w:val="PageNumbe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9A76" w14:textId="77777777" w:rsidR="00F859A0" w:rsidRPr="008460B4" w:rsidRDefault="00F859A0" w:rsidP="007F6DB5">
    <w:pPr>
      <w:pStyle w:val="Footer"/>
      <w:pBdr>
        <w:top w:val="single" w:sz="4" w:space="1" w:color="auto"/>
      </w:pBdr>
      <w:rPr>
        <w:rFonts w:ascii="Arial Narrow" w:hAnsi="Arial Narrow"/>
      </w:rPr>
    </w:pPr>
    <w:r w:rsidRPr="008460B4">
      <w:rPr>
        <w:rFonts w:ascii="Arial Narrow" w:hAnsi="Arial Narrow"/>
      </w:rPr>
      <w:t>ASX Listing Rules</w:t>
    </w:r>
    <w:r w:rsidRPr="008460B4">
      <w:rPr>
        <w:rFonts w:ascii="Arial Narrow" w:hAnsi="Arial Narrow"/>
      </w:rPr>
      <w:tab/>
      <w:t>Guidance Note 20</w:t>
    </w:r>
    <w:r w:rsidRPr="008460B4">
      <w:rPr>
        <w:rFonts w:ascii="Arial Narrow" w:hAnsi="Arial Narrow"/>
      </w:rPr>
      <w:tab/>
      <w:t xml:space="preserve">Page </w:t>
    </w:r>
    <w:r w:rsidRPr="008460B4">
      <w:rPr>
        <w:rStyle w:val="PageNumber"/>
        <w:rFonts w:ascii="Arial Narrow" w:hAnsi="Arial Narrow"/>
      </w:rPr>
      <w:fldChar w:fldCharType="begin"/>
    </w:r>
    <w:r w:rsidRPr="008460B4">
      <w:rPr>
        <w:rStyle w:val="PageNumber"/>
        <w:rFonts w:ascii="Arial Narrow" w:hAnsi="Arial Narrow"/>
      </w:rPr>
      <w:instrText xml:space="preserve"> PAGE </w:instrText>
    </w:r>
    <w:r w:rsidRPr="008460B4">
      <w:rPr>
        <w:rStyle w:val="PageNumber"/>
        <w:rFonts w:ascii="Arial Narrow" w:hAnsi="Arial Narrow"/>
      </w:rPr>
      <w:fldChar w:fldCharType="separate"/>
    </w:r>
    <w:r w:rsidR="00036E6D">
      <w:rPr>
        <w:rStyle w:val="PageNumber"/>
        <w:rFonts w:ascii="Arial Narrow" w:hAnsi="Arial Narrow"/>
        <w:noProof/>
      </w:rPr>
      <w:t>1</w:t>
    </w:r>
    <w:r w:rsidRPr="008460B4">
      <w:rPr>
        <w:rStyle w:val="PageNumber"/>
        <w:rFonts w:ascii="Arial Narrow" w:hAnsi="Arial Narrow"/>
      </w:rPr>
      <w:fldChar w:fldCharType="end"/>
    </w:r>
  </w:p>
  <w:p w14:paraId="2EB08306" w14:textId="771F77C5" w:rsidR="00F859A0" w:rsidRPr="008460B4" w:rsidRDefault="004E7E2B" w:rsidP="001968AF">
    <w:pPr>
      <w:pStyle w:val="Footer"/>
      <w:rPr>
        <w:rFonts w:ascii="Arial Narrow" w:hAnsi="Arial Narrow"/>
      </w:rPr>
    </w:pPr>
    <w:r>
      <w:rPr>
        <w:rFonts w:ascii="Arial Narrow" w:hAnsi="Arial Narrow"/>
      </w:rPr>
      <w:t>1</w:t>
    </w:r>
    <w:r w:rsidR="00B923DF">
      <w:rPr>
        <w:rFonts w:ascii="Arial Narrow" w:hAnsi="Arial Narrow"/>
      </w:rPr>
      <w:t xml:space="preserve"> September</w:t>
    </w:r>
    <w:r w:rsidR="00435F8A">
      <w:rPr>
        <w:rFonts w:ascii="Arial Narrow" w:hAnsi="Arial Narrow"/>
      </w:rPr>
      <w:t xml:space="preserve"> 201</w:t>
    </w:r>
    <w:r w:rsidR="00B923DF">
      <w:rPr>
        <w:rFonts w:ascii="Arial Narrow" w:hAnsi="Arial Narrow"/>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6FDA" w14:textId="435DAA42" w:rsidR="00036E6D" w:rsidRPr="008460B4" w:rsidRDefault="00036E6D" w:rsidP="007F6DB5">
    <w:pPr>
      <w:pStyle w:val="Footer"/>
      <w:pBdr>
        <w:top w:val="single" w:sz="4" w:space="1" w:color="auto"/>
      </w:pBdr>
      <w:rPr>
        <w:rFonts w:ascii="Arial Narrow" w:hAnsi="Arial Narrow"/>
      </w:rPr>
    </w:pPr>
    <w:r w:rsidRPr="008460B4">
      <w:rPr>
        <w:rFonts w:ascii="Arial Narrow" w:hAnsi="Arial Narrow"/>
      </w:rPr>
      <w:t xml:space="preserve">ASX </w:t>
    </w:r>
    <w:r>
      <w:rPr>
        <w:rFonts w:ascii="Arial Narrow" w:hAnsi="Arial Narrow"/>
      </w:rPr>
      <w:t>Online Policy</w:t>
    </w:r>
    <w:r w:rsidR="00835161">
      <w:rPr>
        <w:rFonts w:ascii="Arial Narrow" w:hAnsi="Arial Narrow"/>
      </w:rPr>
      <w:t xml:space="preserve"> (effective </w:t>
    </w:r>
    <w:r w:rsidR="00C35E67">
      <w:rPr>
        <w:rFonts w:ascii="Arial Narrow" w:hAnsi="Arial Narrow"/>
      </w:rPr>
      <w:t>26 June 2025</w:t>
    </w:r>
    <w:r w:rsidR="00835161">
      <w:rPr>
        <w:rFonts w:ascii="Arial Narrow" w:hAnsi="Arial Narrow"/>
      </w:rPr>
      <w:t>)</w:t>
    </w:r>
    <w:r w:rsidRPr="008460B4">
      <w:rPr>
        <w:rFonts w:ascii="Arial Narrow" w:hAnsi="Arial Narrow"/>
      </w:rPr>
      <w:tab/>
    </w:r>
    <w:r w:rsidRPr="008460B4">
      <w:rPr>
        <w:rFonts w:ascii="Arial Narrow" w:hAnsi="Arial Narrow"/>
      </w:rPr>
      <w:tab/>
      <w:t xml:space="preserve">Page </w:t>
    </w:r>
    <w:r w:rsidRPr="008460B4">
      <w:rPr>
        <w:rStyle w:val="PageNumber"/>
        <w:rFonts w:ascii="Arial Narrow" w:hAnsi="Arial Narrow"/>
      </w:rPr>
      <w:fldChar w:fldCharType="begin"/>
    </w:r>
    <w:r w:rsidRPr="008460B4">
      <w:rPr>
        <w:rStyle w:val="PageNumber"/>
        <w:rFonts w:ascii="Arial Narrow" w:hAnsi="Arial Narrow"/>
      </w:rPr>
      <w:instrText xml:space="preserve"> PAGE </w:instrText>
    </w:r>
    <w:r w:rsidRPr="008460B4">
      <w:rPr>
        <w:rStyle w:val="PageNumber"/>
        <w:rFonts w:ascii="Arial Narrow" w:hAnsi="Arial Narrow"/>
      </w:rPr>
      <w:fldChar w:fldCharType="separate"/>
    </w:r>
    <w:r w:rsidR="00835161">
      <w:rPr>
        <w:rStyle w:val="PageNumber"/>
        <w:rFonts w:ascii="Arial Narrow" w:hAnsi="Arial Narrow"/>
        <w:noProof/>
      </w:rPr>
      <w:t>4</w:t>
    </w:r>
    <w:r w:rsidRPr="008460B4">
      <w:rPr>
        <w:rStyle w:val="PageNumbe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217A" w14:textId="77777777" w:rsidR="00206EC9" w:rsidRDefault="00206EC9" w:rsidP="008460B4">
      <w:pPr>
        <w:spacing w:after="0"/>
      </w:pPr>
      <w:r>
        <w:separator/>
      </w:r>
    </w:p>
  </w:footnote>
  <w:footnote w:type="continuationSeparator" w:id="0">
    <w:p w14:paraId="77346C8F" w14:textId="77777777" w:rsidR="00206EC9" w:rsidRDefault="00206EC9" w:rsidP="008460B4">
      <w:pPr>
        <w:spacing w:after="0"/>
      </w:pPr>
      <w:r>
        <w:separator/>
      </w:r>
    </w:p>
  </w:footnote>
  <w:footnote w:type="continuationNotice" w:id="1">
    <w:p w14:paraId="73A5024A" w14:textId="77777777" w:rsidR="00206EC9" w:rsidRPr="008460B4" w:rsidRDefault="00206EC9" w:rsidP="008460B4">
      <w:pPr>
        <w:spacing w:after="0"/>
        <w:rPr>
          <w:sz w:val="18"/>
          <w:szCs w:val="18"/>
        </w:rPr>
      </w:pPr>
      <w:r w:rsidRPr="008460B4">
        <w:rPr>
          <w:sz w:val="18"/>
          <w:szCs w:val="18"/>
        </w:rPr>
        <w:t>/cont.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187B" w14:textId="77777777" w:rsidR="00F859A0" w:rsidRPr="000C0CFE" w:rsidRDefault="00F859A0" w:rsidP="00AB1E95">
    <w:pPr>
      <w:spacing w:after="0"/>
      <w:rPr>
        <w:rFonts w:ascii="Arial" w:hAnsi="Arial"/>
        <w:color w:val="F2F2F2"/>
        <w:sz w:val="40"/>
      </w:rPr>
    </w:pPr>
    <w:r w:rsidRPr="00215C2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164FFE"/>
    <w:lvl w:ilvl="0">
      <w:numFmt w:val="decimal"/>
      <w:lvlText w:val="*"/>
      <w:lvlJc w:val="left"/>
    </w:lvl>
  </w:abstractNum>
  <w:abstractNum w:abstractNumId="1" w15:restartNumberingAfterBreak="0">
    <w:nsid w:val="03EB79CD"/>
    <w:multiLevelType w:val="hybridMultilevel"/>
    <w:tmpl w:val="DC0E84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0D7162"/>
    <w:multiLevelType w:val="hybridMultilevel"/>
    <w:tmpl w:val="02945F18"/>
    <w:lvl w:ilvl="0" w:tplc="85CAFB30">
      <w:start w:val="1"/>
      <w:numFmt w:val="bullet"/>
      <w:pStyle w:val="Bullet1"/>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665F1"/>
    <w:multiLevelType w:val="multilevel"/>
    <w:tmpl w:val="23A259B0"/>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7B78E4"/>
    <w:multiLevelType w:val="multilevel"/>
    <w:tmpl w:val="7D20BD5E"/>
    <w:lvl w:ilvl="0">
      <w:start w:val="1"/>
      <w:numFmt w:val="decimal"/>
      <w:pStyle w:val="Heading2"/>
      <w:lvlText w:val="%1."/>
      <w:lvlJc w:val="left"/>
      <w:pPr>
        <w:ind w:left="2269" w:hanging="567"/>
      </w:pPr>
      <w:rPr>
        <w:rFonts w:hint="default"/>
      </w:rPr>
    </w:lvl>
    <w:lvl w:ilvl="1">
      <w:start w:val="1"/>
      <w:numFmt w:val="decimal"/>
      <w:pStyle w:val="Heading3"/>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1D4A87"/>
    <w:multiLevelType w:val="multilevel"/>
    <w:tmpl w:val="CF54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06BF7"/>
    <w:multiLevelType w:val="hybridMultilevel"/>
    <w:tmpl w:val="42CCF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AE048D"/>
    <w:multiLevelType w:val="hybridMultilevel"/>
    <w:tmpl w:val="8EDE52CC"/>
    <w:lvl w:ilvl="0" w:tplc="06EE35FC">
      <w:start w:val="1"/>
      <w:numFmt w:val="bullet"/>
      <w:lvlText w:val=""/>
      <w:lvlJc w:val="left"/>
      <w:pPr>
        <w:ind w:left="83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D4289"/>
    <w:multiLevelType w:val="hybridMultilevel"/>
    <w:tmpl w:val="92DC9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76E45"/>
    <w:multiLevelType w:val="hybridMultilevel"/>
    <w:tmpl w:val="4038EDD0"/>
    <w:lvl w:ilvl="0" w:tplc="04B044C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543E9B"/>
    <w:multiLevelType w:val="multilevel"/>
    <w:tmpl w:val="1146F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53D73A9"/>
    <w:multiLevelType w:val="multilevel"/>
    <w:tmpl w:val="F728668A"/>
    <w:lvl w:ilvl="0">
      <w:start w:val="1"/>
      <w:numFmt w:val="bullet"/>
      <w:lvlText w:val=""/>
      <w:legacy w:legacy="1" w:legacySpace="120" w:legacyIndent="360"/>
      <w:lvlJc w:val="left"/>
      <w:pPr>
        <w:tabs>
          <w:tab w:val="num" w:pos="502"/>
        </w:tabs>
        <w:ind w:left="502" w:hanging="360"/>
      </w:pPr>
      <w:rPr>
        <w:rFonts w:ascii="Symbol" w:hAnsi="Symbol" w:hint="default"/>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50DF4F57"/>
    <w:multiLevelType w:val="hybridMultilevel"/>
    <w:tmpl w:val="0FC2D282"/>
    <w:lvl w:ilvl="0" w:tplc="430A5F76">
      <w:start w:val="1"/>
      <w:numFmt w:val="bullet"/>
      <w:lvlText w:val="•"/>
      <w:lvlJc w:val="left"/>
      <w:pPr>
        <w:tabs>
          <w:tab w:val="num" w:pos="720"/>
        </w:tabs>
        <w:ind w:left="720" w:hanging="360"/>
      </w:pPr>
      <w:rPr>
        <w:rFonts w:ascii="Times New Roman" w:hAnsi="Times New Roman" w:hint="default"/>
      </w:rPr>
    </w:lvl>
    <w:lvl w:ilvl="1" w:tplc="A8789778" w:tentative="1">
      <w:start w:val="1"/>
      <w:numFmt w:val="bullet"/>
      <w:lvlText w:val="•"/>
      <w:lvlJc w:val="left"/>
      <w:pPr>
        <w:tabs>
          <w:tab w:val="num" w:pos="1440"/>
        </w:tabs>
        <w:ind w:left="1440" w:hanging="360"/>
      </w:pPr>
      <w:rPr>
        <w:rFonts w:ascii="Times New Roman" w:hAnsi="Times New Roman" w:hint="default"/>
      </w:rPr>
    </w:lvl>
    <w:lvl w:ilvl="2" w:tplc="7ADA9DC6" w:tentative="1">
      <w:start w:val="1"/>
      <w:numFmt w:val="bullet"/>
      <w:lvlText w:val="•"/>
      <w:lvlJc w:val="left"/>
      <w:pPr>
        <w:tabs>
          <w:tab w:val="num" w:pos="2160"/>
        </w:tabs>
        <w:ind w:left="2160" w:hanging="360"/>
      </w:pPr>
      <w:rPr>
        <w:rFonts w:ascii="Times New Roman" w:hAnsi="Times New Roman" w:hint="default"/>
      </w:rPr>
    </w:lvl>
    <w:lvl w:ilvl="3" w:tplc="45D460E6" w:tentative="1">
      <w:start w:val="1"/>
      <w:numFmt w:val="bullet"/>
      <w:lvlText w:val="•"/>
      <w:lvlJc w:val="left"/>
      <w:pPr>
        <w:tabs>
          <w:tab w:val="num" w:pos="2880"/>
        </w:tabs>
        <w:ind w:left="2880" w:hanging="360"/>
      </w:pPr>
      <w:rPr>
        <w:rFonts w:ascii="Times New Roman" w:hAnsi="Times New Roman" w:hint="default"/>
      </w:rPr>
    </w:lvl>
    <w:lvl w:ilvl="4" w:tplc="AF420B7E" w:tentative="1">
      <w:start w:val="1"/>
      <w:numFmt w:val="bullet"/>
      <w:lvlText w:val="•"/>
      <w:lvlJc w:val="left"/>
      <w:pPr>
        <w:tabs>
          <w:tab w:val="num" w:pos="3600"/>
        </w:tabs>
        <w:ind w:left="3600" w:hanging="360"/>
      </w:pPr>
      <w:rPr>
        <w:rFonts w:ascii="Times New Roman" w:hAnsi="Times New Roman" w:hint="default"/>
      </w:rPr>
    </w:lvl>
    <w:lvl w:ilvl="5" w:tplc="624A2B1A" w:tentative="1">
      <w:start w:val="1"/>
      <w:numFmt w:val="bullet"/>
      <w:lvlText w:val="•"/>
      <w:lvlJc w:val="left"/>
      <w:pPr>
        <w:tabs>
          <w:tab w:val="num" w:pos="4320"/>
        </w:tabs>
        <w:ind w:left="4320" w:hanging="360"/>
      </w:pPr>
      <w:rPr>
        <w:rFonts w:ascii="Times New Roman" w:hAnsi="Times New Roman" w:hint="default"/>
      </w:rPr>
    </w:lvl>
    <w:lvl w:ilvl="6" w:tplc="F7BC9C9A" w:tentative="1">
      <w:start w:val="1"/>
      <w:numFmt w:val="bullet"/>
      <w:lvlText w:val="•"/>
      <w:lvlJc w:val="left"/>
      <w:pPr>
        <w:tabs>
          <w:tab w:val="num" w:pos="5040"/>
        </w:tabs>
        <w:ind w:left="5040" w:hanging="360"/>
      </w:pPr>
      <w:rPr>
        <w:rFonts w:ascii="Times New Roman" w:hAnsi="Times New Roman" w:hint="default"/>
      </w:rPr>
    </w:lvl>
    <w:lvl w:ilvl="7" w:tplc="5666035E" w:tentative="1">
      <w:start w:val="1"/>
      <w:numFmt w:val="bullet"/>
      <w:lvlText w:val="•"/>
      <w:lvlJc w:val="left"/>
      <w:pPr>
        <w:tabs>
          <w:tab w:val="num" w:pos="5760"/>
        </w:tabs>
        <w:ind w:left="5760" w:hanging="360"/>
      </w:pPr>
      <w:rPr>
        <w:rFonts w:ascii="Times New Roman" w:hAnsi="Times New Roman" w:hint="default"/>
      </w:rPr>
    </w:lvl>
    <w:lvl w:ilvl="8" w:tplc="7CCE78A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297278E"/>
    <w:multiLevelType w:val="hybridMultilevel"/>
    <w:tmpl w:val="7D70A5F6"/>
    <w:lvl w:ilvl="0" w:tplc="441AF640">
      <w:start w:val="1"/>
      <w:numFmt w:val="lowerLetter"/>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4" w15:restartNumberingAfterBreak="0">
    <w:nsid w:val="531F03F9"/>
    <w:multiLevelType w:val="multilevel"/>
    <w:tmpl w:val="F728668A"/>
    <w:lvl w:ilvl="0">
      <w:start w:val="1"/>
      <w:numFmt w:val="bullet"/>
      <w:lvlText w:val=""/>
      <w:legacy w:legacy="1" w:legacySpace="120" w:legacyIndent="360"/>
      <w:lvlJc w:val="left"/>
      <w:pPr>
        <w:tabs>
          <w:tab w:val="num" w:pos="502"/>
        </w:tabs>
        <w:ind w:left="502" w:hanging="360"/>
      </w:pPr>
      <w:rPr>
        <w:rFonts w:ascii="Symbol" w:hAnsi="Symbol" w:hint="default"/>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 w15:restartNumberingAfterBreak="0">
    <w:nsid w:val="58197574"/>
    <w:multiLevelType w:val="hybridMultilevel"/>
    <w:tmpl w:val="7C14A172"/>
    <w:lvl w:ilvl="0" w:tplc="38B2780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77C4EB9"/>
    <w:multiLevelType w:val="hybridMultilevel"/>
    <w:tmpl w:val="9418E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5F5F47"/>
    <w:multiLevelType w:val="hybridMultilevel"/>
    <w:tmpl w:val="C1BCC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6016FC"/>
    <w:multiLevelType w:val="hybridMultilevel"/>
    <w:tmpl w:val="D57EE5B2"/>
    <w:lvl w:ilvl="0" w:tplc="5CAA42C4">
      <w:start w:val="1"/>
      <w:numFmt w:val="bullet"/>
      <w:lvlText w:val="o"/>
      <w:lvlJc w:val="left"/>
      <w:pPr>
        <w:ind w:left="5400" w:hanging="360"/>
      </w:pPr>
      <w:rPr>
        <w:rFonts w:ascii="Courier New" w:hAnsi="Courier New" w:hint="default"/>
      </w:rPr>
    </w:lvl>
    <w:lvl w:ilvl="1" w:tplc="04090003" w:tentative="1">
      <w:start w:val="1"/>
      <w:numFmt w:val="bullet"/>
      <w:lvlText w:val="o"/>
      <w:lvlJc w:val="left"/>
      <w:pPr>
        <w:ind w:left="6120" w:hanging="360"/>
      </w:pPr>
      <w:rPr>
        <w:rFonts w:ascii="Courier New" w:hAnsi="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hint="default"/>
      </w:rPr>
    </w:lvl>
    <w:lvl w:ilvl="8" w:tplc="04090005" w:tentative="1">
      <w:start w:val="1"/>
      <w:numFmt w:val="bullet"/>
      <w:lvlText w:val=""/>
      <w:lvlJc w:val="left"/>
      <w:pPr>
        <w:ind w:left="11160" w:hanging="360"/>
      </w:pPr>
      <w:rPr>
        <w:rFonts w:ascii="Wingdings" w:hAnsi="Wingdings" w:hint="default"/>
      </w:rPr>
    </w:lvl>
  </w:abstractNum>
  <w:num w:numId="1" w16cid:durableId="34891865">
    <w:abstractNumId w:val="15"/>
  </w:num>
  <w:num w:numId="2" w16cid:durableId="521937464">
    <w:abstractNumId w:val="7"/>
  </w:num>
  <w:num w:numId="3" w16cid:durableId="126825665">
    <w:abstractNumId w:val="18"/>
  </w:num>
  <w:num w:numId="4" w16cid:durableId="901139731">
    <w:abstractNumId w:val="9"/>
  </w:num>
  <w:num w:numId="5" w16cid:durableId="274101066">
    <w:abstractNumId w:val="2"/>
  </w:num>
  <w:num w:numId="6" w16cid:durableId="876087992">
    <w:abstractNumId w:val="0"/>
    <w:lvlOverride w:ilvl="0">
      <w:lvl w:ilvl="0">
        <w:start w:val="1"/>
        <w:numFmt w:val="bullet"/>
        <w:lvlText w:val=""/>
        <w:legacy w:legacy="1" w:legacySpace="120" w:legacyIndent="360"/>
        <w:lvlJc w:val="left"/>
        <w:pPr>
          <w:ind w:left="786" w:hanging="360"/>
        </w:pPr>
        <w:rPr>
          <w:rFonts w:ascii="Symbol" w:hAnsi="Symbol" w:hint="default"/>
        </w:rPr>
      </w:lvl>
    </w:lvlOverride>
  </w:num>
  <w:num w:numId="7" w16cid:durableId="1852986483">
    <w:abstractNumId w:val="10"/>
  </w:num>
  <w:num w:numId="8" w16cid:durableId="921446826">
    <w:abstractNumId w:val="5"/>
  </w:num>
  <w:num w:numId="9" w16cid:durableId="401683232">
    <w:abstractNumId w:val="11"/>
  </w:num>
  <w:num w:numId="10" w16cid:durableId="152646790">
    <w:abstractNumId w:val="14"/>
  </w:num>
  <w:num w:numId="11" w16cid:durableId="842209315">
    <w:abstractNumId w:val="13"/>
  </w:num>
  <w:num w:numId="12" w16cid:durableId="1396468936">
    <w:abstractNumId w:val="2"/>
  </w:num>
  <w:num w:numId="13" w16cid:durableId="1056010896">
    <w:abstractNumId w:val="2"/>
  </w:num>
  <w:num w:numId="14" w16cid:durableId="1202090571">
    <w:abstractNumId w:val="2"/>
  </w:num>
  <w:num w:numId="15" w16cid:durableId="214509817">
    <w:abstractNumId w:val="2"/>
  </w:num>
  <w:num w:numId="16" w16cid:durableId="29503412">
    <w:abstractNumId w:val="2"/>
  </w:num>
  <w:num w:numId="17" w16cid:durableId="2103449674">
    <w:abstractNumId w:val="3"/>
  </w:num>
  <w:num w:numId="18" w16cid:durableId="1111626072">
    <w:abstractNumId w:val="4"/>
  </w:num>
  <w:num w:numId="19" w16cid:durableId="1963806788">
    <w:abstractNumId w:val="4"/>
  </w:num>
  <w:num w:numId="20" w16cid:durableId="2078090406">
    <w:abstractNumId w:val="4"/>
    <w:lvlOverride w:ilvl="0">
      <w:lvl w:ilvl="0">
        <w:start w:val="1"/>
        <w:numFmt w:val="decimal"/>
        <w:pStyle w:val="Heading2"/>
        <w:lvlText w:val="%1."/>
        <w:lvlJc w:val="left"/>
        <w:pPr>
          <w:ind w:left="567" w:hanging="567"/>
        </w:pPr>
        <w:rPr>
          <w:rFonts w:hint="default"/>
        </w:rPr>
      </w:lvl>
    </w:lvlOverride>
    <w:lvlOverride w:ilvl="1">
      <w:lvl w:ilvl="1">
        <w:start w:val="1"/>
        <w:numFmt w:val="decimal"/>
        <w:pStyle w:val="Heading3"/>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723719270">
    <w:abstractNumId w:val="12"/>
  </w:num>
  <w:num w:numId="22" w16cid:durableId="896010542">
    <w:abstractNumId w:val="4"/>
  </w:num>
  <w:num w:numId="23" w16cid:durableId="520582911">
    <w:abstractNumId w:val="2"/>
  </w:num>
  <w:num w:numId="24" w16cid:durableId="1957829491">
    <w:abstractNumId w:val="2"/>
  </w:num>
  <w:num w:numId="25" w16cid:durableId="1984848759">
    <w:abstractNumId w:val="4"/>
  </w:num>
  <w:num w:numId="26" w16cid:durableId="542181556">
    <w:abstractNumId w:val="4"/>
  </w:num>
  <w:num w:numId="27" w16cid:durableId="294066459">
    <w:abstractNumId w:val="8"/>
  </w:num>
  <w:num w:numId="28" w16cid:durableId="322242652">
    <w:abstractNumId w:val="4"/>
  </w:num>
  <w:num w:numId="29" w16cid:durableId="1051424366">
    <w:abstractNumId w:val="17"/>
  </w:num>
  <w:num w:numId="30" w16cid:durableId="35594351">
    <w:abstractNumId w:val="2"/>
  </w:num>
  <w:num w:numId="31" w16cid:durableId="460265107">
    <w:abstractNumId w:val="16"/>
  </w:num>
  <w:num w:numId="32" w16cid:durableId="94058445">
    <w:abstractNumId w:val="2"/>
  </w:num>
  <w:num w:numId="33" w16cid:durableId="1146314528">
    <w:abstractNumId w:val="1"/>
  </w:num>
  <w:num w:numId="34" w16cid:durableId="1898272439">
    <w:abstractNumId w:val="2"/>
  </w:num>
  <w:num w:numId="35" w16cid:durableId="1626617096">
    <w:abstractNumId w:val="6"/>
  </w:num>
  <w:num w:numId="36" w16cid:durableId="5308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numFmt w:val="decimal"/>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75"/>
    <w:rsid w:val="00011A17"/>
    <w:rsid w:val="00012E85"/>
    <w:rsid w:val="00023151"/>
    <w:rsid w:val="00023418"/>
    <w:rsid w:val="00032FE0"/>
    <w:rsid w:val="00036223"/>
    <w:rsid w:val="00036E6D"/>
    <w:rsid w:val="00045C3D"/>
    <w:rsid w:val="0005320F"/>
    <w:rsid w:val="00053BF6"/>
    <w:rsid w:val="00057CD0"/>
    <w:rsid w:val="00063FB2"/>
    <w:rsid w:val="000741AB"/>
    <w:rsid w:val="00075819"/>
    <w:rsid w:val="00075EC1"/>
    <w:rsid w:val="00076152"/>
    <w:rsid w:val="00076FA5"/>
    <w:rsid w:val="00077DA4"/>
    <w:rsid w:val="00082DCB"/>
    <w:rsid w:val="0008477B"/>
    <w:rsid w:val="00087317"/>
    <w:rsid w:val="00093964"/>
    <w:rsid w:val="000A016B"/>
    <w:rsid w:val="000B3BF4"/>
    <w:rsid w:val="000B63E9"/>
    <w:rsid w:val="000B7E48"/>
    <w:rsid w:val="000C0CFE"/>
    <w:rsid w:val="000D5313"/>
    <w:rsid w:val="000F0CC1"/>
    <w:rsid w:val="000F37B2"/>
    <w:rsid w:val="000F3B51"/>
    <w:rsid w:val="000F7267"/>
    <w:rsid w:val="00101B70"/>
    <w:rsid w:val="00104B03"/>
    <w:rsid w:val="00107C02"/>
    <w:rsid w:val="001104E9"/>
    <w:rsid w:val="00110E6E"/>
    <w:rsid w:val="0011261B"/>
    <w:rsid w:val="00115290"/>
    <w:rsid w:val="00123AAE"/>
    <w:rsid w:val="001240D5"/>
    <w:rsid w:val="00126602"/>
    <w:rsid w:val="0013225C"/>
    <w:rsid w:val="001332FB"/>
    <w:rsid w:val="00135DB4"/>
    <w:rsid w:val="00144240"/>
    <w:rsid w:val="00153A77"/>
    <w:rsid w:val="00155766"/>
    <w:rsid w:val="0015691A"/>
    <w:rsid w:val="00156C1E"/>
    <w:rsid w:val="00157345"/>
    <w:rsid w:val="0016373C"/>
    <w:rsid w:val="00165B95"/>
    <w:rsid w:val="0016613F"/>
    <w:rsid w:val="001735C7"/>
    <w:rsid w:val="00173AD9"/>
    <w:rsid w:val="001774D6"/>
    <w:rsid w:val="001804DB"/>
    <w:rsid w:val="001968AF"/>
    <w:rsid w:val="00197A2A"/>
    <w:rsid w:val="001A4E89"/>
    <w:rsid w:val="001B3BE9"/>
    <w:rsid w:val="001B7141"/>
    <w:rsid w:val="001C1290"/>
    <w:rsid w:val="001D5B39"/>
    <w:rsid w:val="001D754E"/>
    <w:rsid w:val="001E0C61"/>
    <w:rsid w:val="001E4B52"/>
    <w:rsid w:val="001F5FC9"/>
    <w:rsid w:val="002003CF"/>
    <w:rsid w:val="00206EC9"/>
    <w:rsid w:val="00217D04"/>
    <w:rsid w:val="00222C42"/>
    <w:rsid w:val="00222F99"/>
    <w:rsid w:val="0023019F"/>
    <w:rsid w:val="00233903"/>
    <w:rsid w:val="00247D83"/>
    <w:rsid w:val="002577CD"/>
    <w:rsid w:val="002661E3"/>
    <w:rsid w:val="0028482C"/>
    <w:rsid w:val="00286BD5"/>
    <w:rsid w:val="00290DB3"/>
    <w:rsid w:val="00292EB1"/>
    <w:rsid w:val="00297E5D"/>
    <w:rsid w:val="002A130E"/>
    <w:rsid w:val="002A5A60"/>
    <w:rsid w:val="002B1D75"/>
    <w:rsid w:val="002B32F5"/>
    <w:rsid w:val="002B48B1"/>
    <w:rsid w:val="002C6CCF"/>
    <w:rsid w:val="002D0527"/>
    <w:rsid w:val="002E0F8D"/>
    <w:rsid w:val="002F177E"/>
    <w:rsid w:val="002F5461"/>
    <w:rsid w:val="002F68FB"/>
    <w:rsid w:val="002F6939"/>
    <w:rsid w:val="003028E4"/>
    <w:rsid w:val="00304842"/>
    <w:rsid w:val="00306D3B"/>
    <w:rsid w:val="00312950"/>
    <w:rsid w:val="00314B07"/>
    <w:rsid w:val="003253F1"/>
    <w:rsid w:val="00340714"/>
    <w:rsid w:val="00340BA1"/>
    <w:rsid w:val="00341411"/>
    <w:rsid w:val="00343FCB"/>
    <w:rsid w:val="003468A7"/>
    <w:rsid w:val="003500E4"/>
    <w:rsid w:val="00351F19"/>
    <w:rsid w:val="003536C7"/>
    <w:rsid w:val="00354167"/>
    <w:rsid w:val="00370DEB"/>
    <w:rsid w:val="00372A6A"/>
    <w:rsid w:val="003730F4"/>
    <w:rsid w:val="00386D8B"/>
    <w:rsid w:val="0039144D"/>
    <w:rsid w:val="00391949"/>
    <w:rsid w:val="00392277"/>
    <w:rsid w:val="003926F7"/>
    <w:rsid w:val="00393593"/>
    <w:rsid w:val="00393C16"/>
    <w:rsid w:val="0039558B"/>
    <w:rsid w:val="003B44F9"/>
    <w:rsid w:val="003E73E5"/>
    <w:rsid w:val="003F27D0"/>
    <w:rsid w:val="003F48B4"/>
    <w:rsid w:val="003F6C0D"/>
    <w:rsid w:val="0040476B"/>
    <w:rsid w:val="00420BF8"/>
    <w:rsid w:val="00431301"/>
    <w:rsid w:val="004320D1"/>
    <w:rsid w:val="00435F8A"/>
    <w:rsid w:val="00436D84"/>
    <w:rsid w:val="00441F81"/>
    <w:rsid w:val="00442666"/>
    <w:rsid w:val="00473723"/>
    <w:rsid w:val="0047374E"/>
    <w:rsid w:val="0047693D"/>
    <w:rsid w:val="0047752F"/>
    <w:rsid w:val="004835F0"/>
    <w:rsid w:val="004922E5"/>
    <w:rsid w:val="00493331"/>
    <w:rsid w:val="004B18C9"/>
    <w:rsid w:val="004B26FE"/>
    <w:rsid w:val="004C0D74"/>
    <w:rsid w:val="004C1776"/>
    <w:rsid w:val="004D382D"/>
    <w:rsid w:val="004E7E2B"/>
    <w:rsid w:val="004F4F1D"/>
    <w:rsid w:val="004F672D"/>
    <w:rsid w:val="00505D49"/>
    <w:rsid w:val="00512227"/>
    <w:rsid w:val="005212CC"/>
    <w:rsid w:val="00535F76"/>
    <w:rsid w:val="0053677F"/>
    <w:rsid w:val="005424B3"/>
    <w:rsid w:val="005437E3"/>
    <w:rsid w:val="00544CDF"/>
    <w:rsid w:val="005637F5"/>
    <w:rsid w:val="00565CCA"/>
    <w:rsid w:val="0056762D"/>
    <w:rsid w:val="00567D28"/>
    <w:rsid w:val="005727B5"/>
    <w:rsid w:val="00577C69"/>
    <w:rsid w:val="005801A1"/>
    <w:rsid w:val="005809DD"/>
    <w:rsid w:val="00581060"/>
    <w:rsid w:val="00581544"/>
    <w:rsid w:val="00584BCF"/>
    <w:rsid w:val="005933D1"/>
    <w:rsid w:val="00593E0D"/>
    <w:rsid w:val="005A3558"/>
    <w:rsid w:val="005A7915"/>
    <w:rsid w:val="005E7864"/>
    <w:rsid w:val="005F0D8A"/>
    <w:rsid w:val="005F25F2"/>
    <w:rsid w:val="005F2B74"/>
    <w:rsid w:val="0060192D"/>
    <w:rsid w:val="00614723"/>
    <w:rsid w:val="00615DE9"/>
    <w:rsid w:val="00623BEE"/>
    <w:rsid w:val="006256BF"/>
    <w:rsid w:val="00653F4D"/>
    <w:rsid w:val="006564F7"/>
    <w:rsid w:val="006673E3"/>
    <w:rsid w:val="006709E5"/>
    <w:rsid w:val="0069080D"/>
    <w:rsid w:val="00695678"/>
    <w:rsid w:val="006B419D"/>
    <w:rsid w:val="006B65AD"/>
    <w:rsid w:val="006C2B92"/>
    <w:rsid w:val="006D1057"/>
    <w:rsid w:val="006D1264"/>
    <w:rsid w:val="006D1AD1"/>
    <w:rsid w:val="006E64F5"/>
    <w:rsid w:val="006F428A"/>
    <w:rsid w:val="006F5FCB"/>
    <w:rsid w:val="00702F2A"/>
    <w:rsid w:val="00705841"/>
    <w:rsid w:val="00725108"/>
    <w:rsid w:val="00745854"/>
    <w:rsid w:val="007468ED"/>
    <w:rsid w:val="00764108"/>
    <w:rsid w:val="00780B75"/>
    <w:rsid w:val="007879F6"/>
    <w:rsid w:val="007974AF"/>
    <w:rsid w:val="007A20A0"/>
    <w:rsid w:val="007A4A5B"/>
    <w:rsid w:val="007A6774"/>
    <w:rsid w:val="007B0E70"/>
    <w:rsid w:val="007B6D54"/>
    <w:rsid w:val="007C4023"/>
    <w:rsid w:val="007C6D29"/>
    <w:rsid w:val="007D48F3"/>
    <w:rsid w:val="007E4EFD"/>
    <w:rsid w:val="007F579F"/>
    <w:rsid w:val="007F6DB5"/>
    <w:rsid w:val="00806955"/>
    <w:rsid w:val="00822E45"/>
    <w:rsid w:val="00824A90"/>
    <w:rsid w:val="00832BDC"/>
    <w:rsid w:val="00833671"/>
    <w:rsid w:val="00835161"/>
    <w:rsid w:val="0083528B"/>
    <w:rsid w:val="00845C83"/>
    <w:rsid w:val="008460B4"/>
    <w:rsid w:val="008562AA"/>
    <w:rsid w:val="008A0E24"/>
    <w:rsid w:val="008A16BC"/>
    <w:rsid w:val="008A3CC4"/>
    <w:rsid w:val="008B1B84"/>
    <w:rsid w:val="008B4B98"/>
    <w:rsid w:val="008E3B63"/>
    <w:rsid w:val="008F0995"/>
    <w:rsid w:val="00903982"/>
    <w:rsid w:val="009052B7"/>
    <w:rsid w:val="00905DB9"/>
    <w:rsid w:val="00906E1E"/>
    <w:rsid w:val="00923B15"/>
    <w:rsid w:val="00924F43"/>
    <w:rsid w:val="0093067F"/>
    <w:rsid w:val="009354BC"/>
    <w:rsid w:val="0093592B"/>
    <w:rsid w:val="0093732E"/>
    <w:rsid w:val="00937A57"/>
    <w:rsid w:val="0094574B"/>
    <w:rsid w:val="00950AE6"/>
    <w:rsid w:val="00951F00"/>
    <w:rsid w:val="00953F19"/>
    <w:rsid w:val="00960B73"/>
    <w:rsid w:val="00965A28"/>
    <w:rsid w:val="00974AC6"/>
    <w:rsid w:val="00980262"/>
    <w:rsid w:val="00983795"/>
    <w:rsid w:val="009978A2"/>
    <w:rsid w:val="009A1CF3"/>
    <w:rsid w:val="009A214E"/>
    <w:rsid w:val="009A27B6"/>
    <w:rsid w:val="009B12B2"/>
    <w:rsid w:val="009C3FC1"/>
    <w:rsid w:val="009E5243"/>
    <w:rsid w:val="009F0455"/>
    <w:rsid w:val="00A015E1"/>
    <w:rsid w:val="00A147DB"/>
    <w:rsid w:val="00A1738D"/>
    <w:rsid w:val="00A2324E"/>
    <w:rsid w:val="00A301B3"/>
    <w:rsid w:val="00A338E9"/>
    <w:rsid w:val="00A362ED"/>
    <w:rsid w:val="00A52B9B"/>
    <w:rsid w:val="00A60426"/>
    <w:rsid w:val="00A647C2"/>
    <w:rsid w:val="00A66D35"/>
    <w:rsid w:val="00A71D27"/>
    <w:rsid w:val="00A7274B"/>
    <w:rsid w:val="00A77C8F"/>
    <w:rsid w:val="00A815BE"/>
    <w:rsid w:val="00A92D1E"/>
    <w:rsid w:val="00AA0ED3"/>
    <w:rsid w:val="00AA55F1"/>
    <w:rsid w:val="00AA748A"/>
    <w:rsid w:val="00AB1E95"/>
    <w:rsid w:val="00AB3F38"/>
    <w:rsid w:val="00AB619E"/>
    <w:rsid w:val="00AB78E0"/>
    <w:rsid w:val="00AC2695"/>
    <w:rsid w:val="00AC620F"/>
    <w:rsid w:val="00AE0C62"/>
    <w:rsid w:val="00B04544"/>
    <w:rsid w:val="00B10863"/>
    <w:rsid w:val="00B23BF0"/>
    <w:rsid w:val="00B45936"/>
    <w:rsid w:val="00B63D24"/>
    <w:rsid w:val="00B67B36"/>
    <w:rsid w:val="00B7136C"/>
    <w:rsid w:val="00B83580"/>
    <w:rsid w:val="00B86C02"/>
    <w:rsid w:val="00B923DF"/>
    <w:rsid w:val="00B94E68"/>
    <w:rsid w:val="00BA183D"/>
    <w:rsid w:val="00BA2CAE"/>
    <w:rsid w:val="00BB2557"/>
    <w:rsid w:val="00BC101B"/>
    <w:rsid w:val="00BC3667"/>
    <w:rsid w:val="00BD15F6"/>
    <w:rsid w:val="00BD4774"/>
    <w:rsid w:val="00BD7B77"/>
    <w:rsid w:val="00BE26CB"/>
    <w:rsid w:val="00BE7E56"/>
    <w:rsid w:val="00BF1B6A"/>
    <w:rsid w:val="00BF3B98"/>
    <w:rsid w:val="00BF4BA0"/>
    <w:rsid w:val="00C0225E"/>
    <w:rsid w:val="00C13A0B"/>
    <w:rsid w:val="00C14858"/>
    <w:rsid w:val="00C24EEE"/>
    <w:rsid w:val="00C2721F"/>
    <w:rsid w:val="00C320A4"/>
    <w:rsid w:val="00C35E67"/>
    <w:rsid w:val="00C51CC8"/>
    <w:rsid w:val="00C54EBC"/>
    <w:rsid w:val="00C6682B"/>
    <w:rsid w:val="00C70C16"/>
    <w:rsid w:val="00C84A15"/>
    <w:rsid w:val="00C85118"/>
    <w:rsid w:val="00C8648D"/>
    <w:rsid w:val="00C9496D"/>
    <w:rsid w:val="00C96CC4"/>
    <w:rsid w:val="00CA0C18"/>
    <w:rsid w:val="00CA2865"/>
    <w:rsid w:val="00CB12A0"/>
    <w:rsid w:val="00CC78E1"/>
    <w:rsid w:val="00CD08C2"/>
    <w:rsid w:val="00CD0916"/>
    <w:rsid w:val="00CD0A69"/>
    <w:rsid w:val="00CD6AEE"/>
    <w:rsid w:val="00CE0EEB"/>
    <w:rsid w:val="00CE46BE"/>
    <w:rsid w:val="00CE7EAD"/>
    <w:rsid w:val="00D00A9D"/>
    <w:rsid w:val="00D037B8"/>
    <w:rsid w:val="00D04BAC"/>
    <w:rsid w:val="00D15E90"/>
    <w:rsid w:val="00D162BD"/>
    <w:rsid w:val="00D165DF"/>
    <w:rsid w:val="00D30D05"/>
    <w:rsid w:val="00D422EC"/>
    <w:rsid w:val="00D465ED"/>
    <w:rsid w:val="00D548C1"/>
    <w:rsid w:val="00D6489D"/>
    <w:rsid w:val="00D661EB"/>
    <w:rsid w:val="00D711D2"/>
    <w:rsid w:val="00D74549"/>
    <w:rsid w:val="00D81125"/>
    <w:rsid w:val="00D94074"/>
    <w:rsid w:val="00D95E54"/>
    <w:rsid w:val="00D9736C"/>
    <w:rsid w:val="00D9758E"/>
    <w:rsid w:val="00DA39C5"/>
    <w:rsid w:val="00DA4403"/>
    <w:rsid w:val="00DA4F15"/>
    <w:rsid w:val="00DB1DE4"/>
    <w:rsid w:val="00DC2E9E"/>
    <w:rsid w:val="00DC3A71"/>
    <w:rsid w:val="00DE4610"/>
    <w:rsid w:val="00DF0A0A"/>
    <w:rsid w:val="00DF0F03"/>
    <w:rsid w:val="00E04AEC"/>
    <w:rsid w:val="00E053DA"/>
    <w:rsid w:val="00E148F9"/>
    <w:rsid w:val="00E16011"/>
    <w:rsid w:val="00E17266"/>
    <w:rsid w:val="00E260C2"/>
    <w:rsid w:val="00E335F7"/>
    <w:rsid w:val="00E33CEF"/>
    <w:rsid w:val="00E43F10"/>
    <w:rsid w:val="00E46915"/>
    <w:rsid w:val="00E50C16"/>
    <w:rsid w:val="00E53833"/>
    <w:rsid w:val="00E542E2"/>
    <w:rsid w:val="00E62828"/>
    <w:rsid w:val="00E63A30"/>
    <w:rsid w:val="00E722A8"/>
    <w:rsid w:val="00E829C6"/>
    <w:rsid w:val="00EA0485"/>
    <w:rsid w:val="00EA4983"/>
    <w:rsid w:val="00EA51ED"/>
    <w:rsid w:val="00EB54B8"/>
    <w:rsid w:val="00EB60A3"/>
    <w:rsid w:val="00EC7D72"/>
    <w:rsid w:val="00ED5D2C"/>
    <w:rsid w:val="00F00FE3"/>
    <w:rsid w:val="00F06D07"/>
    <w:rsid w:val="00F07ABD"/>
    <w:rsid w:val="00F31BC9"/>
    <w:rsid w:val="00F33362"/>
    <w:rsid w:val="00F34F69"/>
    <w:rsid w:val="00F41C23"/>
    <w:rsid w:val="00F42892"/>
    <w:rsid w:val="00F530E3"/>
    <w:rsid w:val="00F534F8"/>
    <w:rsid w:val="00F859A0"/>
    <w:rsid w:val="00FE5337"/>
    <w:rsid w:val="00FF1023"/>
    <w:rsid w:val="00FF1240"/>
    <w:rsid w:val="00FF4277"/>
    <w:rsid w:val="00FF5D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368DD92A"/>
  <w15:docId w15:val="{9F41BD83-0811-4580-AC5B-1AD775E0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4723"/>
    <w:pPr>
      <w:spacing w:after="180"/>
      <w:jc w:val="both"/>
    </w:pPr>
    <w:rPr>
      <w:rFonts w:ascii="Arial Narrow" w:hAnsi="Arial Narrow"/>
      <w:sz w:val="22"/>
      <w:szCs w:val="24"/>
      <w:lang w:eastAsia="en-US"/>
    </w:rPr>
  </w:style>
  <w:style w:type="paragraph" w:styleId="Heading1">
    <w:name w:val="heading 1"/>
    <w:basedOn w:val="Normal"/>
    <w:next w:val="Normal"/>
    <w:link w:val="Heading1Char"/>
    <w:qFormat/>
    <w:rsid w:val="001968AF"/>
    <w:pPr>
      <w:keepNext/>
      <w:spacing w:before="180"/>
      <w:outlineLvl w:val="0"/>
    </w:pPr>
    <w:rPr>
      <w:b/>
      <w:caps/>
      <w:sz w:val="36"/>
    </w:rPr>
  </w:style>
  <w:style w:type="paragraph" w:styleId="Heading2">
    <w:name w:val="heading 2"/>
    <w:basedOn w:val="Heading1"/>
    <w:next w:val="Normal"/>
    <w:link w:val="Heading2Char"/>
    <w:qFormat/>
    <w:rsid w:val="00F859A0"/>
    <w:pPr>
      <w:numPr>
        <w:numId w:val="18"/>
      </w:numPr>
      <w:overflowPunct w:val="0"/>
      <w:autoSpaceDE w:val="0"/>
      <w:autoSpaceDN w:val="0"/>
      <w:adjustRightInd w:val="0"/>
      <w:spacing w:before="60"/>
      <w:ind w:left="567"/>
      <w:textAlignment w:val="baseline"/>
      <w:outlineLvl w:val="1"/>
    </w:pPr>
    <w:rPr>
      <w:bCs/>
      <w:caps w:val="0"/>
      <w:sz w:val="28"/>
      <w:szCs w:val="32"/>
      <w:lang w:val="en-GB"/>
    </w:rPr>
  </w:style>
  <w:style w:type="paragraph" w:styleId="Heading3">
    <w:name w:val="heading 3"/>
    <w:basedOn w:val="Heading2"/>
    <w:next w:val="Normal"/>
    <w:link w:val="Heading3Char"/>
    <w:qFormat/>
    <w:rsid w:val="00077DA4"/>
    <w:pPr>
      <w:numPr>
        <w:ilvl w:val="1"/>
      </w:numPr>
      <w:spacing w:before="0"/>
      <w:outlineLvl w:val="2"/>
    </w:pPr>
    <w:rPr>
      <w:bCs w:val="0"/>
      <w:sz w:val="22"/>
      <w:szCs w:val="26"/>
    </w:rPr>
  </w:style>
  <w:style w:type="paragraph" w:styleId="Heading4">
    <w:name w:val="heading 4"/>
    <w:basedOn w:val="Normal"/>
    <w:next w:val="Normal"/>
    <w:link w:val="Heading4Char"/>
    <w:qFormat/>
    <w:rsid w:val="00BD15F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0EEB"/>
    <w:rPr>
      <w:rFonts w:ascii="Arial Narrow" w:hAnsi="Arial Narrow"/>
      <w:b/>
      <w:caps/>
      <w:sz w:val="36"/>
      <w:szCs w:val="24"/>
      <w:lang w:eastAsia="en-US"/>
    </w:rPr>
  </w:style>
  <w:style w:type="character" w:customStyle="1" w:styleId="Heading2Char">
    <w:name w:val="Heading 2 Char"/>
    <w:link w:val="Heading2"/>
    <w:rsid w:val="00F859A0"/>
    <w:rPr>
      <w:rFonts w:ascii="Arial Narrow" w:hAnsi="Arial Narrow"/>
      <w:b/>
      <w:bCs/>
      <w:sz w:val="28"/>
      <w:szCs w:val="32"/>
      <w:lang w:val="en-GB" w:eastAsia="en-US"/>
    </w:rPr>
  </w:style>
  <w:style w:type="character" w:customStyle="1" w:styleId="Heading3Char">
    <w:name w:val="Heading 3 Char"/>
    <w:link w:val="Heading3"/>
    <w:rsid w:val="00077DA4"/>
    <w:rPr>
      <w:rFonts w:ascii="Arial Narrow" w:hAnsi="Arial Narrow"/>
      <w:b/>
      <w:sz w:val="22"/>
      <w:szCs w:val="26"/>
      <w:lang w:val="en-GB" w:eastAsia="en-US"/>
    </w:rPr>
  </w:style>
  <w:style w:type="character" w:customStyle="1" w:styleId="Heading4Char">
    <w:name w:val="Heading 4 Char"/>
    <w:link w:val="Heading4"/>
    <w:semiHidden/>
    <w:rsid w:val="00BD15F6"/>
    <w:rPr>
      <w:rFonts w:ascii="Calibri" w:eastAsia="Times New Roman" w:hAnsi="Calibri" w:cs="Times New Roman"/>
      <w:b/>
      <w:bCs/>
      <w:sz w:val="28"/>
      <w:szCs w:val="28"/>
      <w:lang w:val="en-US" w:eastAsia="en-US"/>
    </w:rPr>
  </w:style>
  <w:style w:type="paragraph" w:styleId="Header">
    <w:name w:val="header"/>
    <w:basedOn w:val="Normal"/>
    <w:link w:val="HeaderChar"/>
    <w:uiPriority w:val="99"/>
    <w:rsid w:val="00173AD9"/>
    <w:pPr>
      <w:tabs>
        <w:tab w:val="center" w:pos="4153"/>
        <w:tab w:val="right" w:pos="8306"/>
      </w:tabs>
    </w:pPr>
  </w:style>
  <w:style w:type="paragraph" w:customStyle="1" w:styleId="Bullet1">
    <w:name w:val="Bullet 1"/>
    <w:basedOn w:val="Normal"/>
    <w:rsid w:val="00077DA4"/>
    <w:pPr>
      <w:numPr>
        <w:numId w:val="5"/>
      </w:numPr>
      <w:tabs>
        <w:tab w:val="left" w:pos="567"/>
      </w:tabs>
    </w:pPr>
  </w:style>
  <w:style w:type="paragraph" w:customStyle="1" w:styleId="Bullet2">
    <w:name w:val="Bullet 2"/>
    <w:basedOn w:val="Bullet1"/>
    <w:rsid w:val="00D548C1"/>
    <w:pPr>
      <w:tabs>
        <w:tab w:val="clear" w:pos="567"/>
        <w:tab w:val="left" w:pos="1134"/>
      </w:tabs>
      <w:ind w:left="1134"/>
    </w:pPr>
  </w:style>
  <w:style w:type="paragraph" w:styleId="Footer">
    <w:name w:val="footer"/>
    <w:basedOn w:val="Normal"/>
    <w:rsid w:val="001968AF"/>
    <w:pPr>
      <w:tabs>
        <w:tab w:val="center" w:pos="4536"/>
        <w:tab w:val="right" w:pos="9072"/>
      </w:tabs>
      <w:spacing w:after="0"/>
    </w:pPr>
    <w:rPr>
      <w:rFonts w:ascii="Arial" w:hAnsi="Arial"/>
      <w:sz w:val="16"/>
    </w:rPr>
  </w:style>
  <w:style w:type="character" w:styleId="PageNumber">
    <w:name w:val="page number"/>
    <w:basedOn w:val="DefaultParagraphFont"/>
    <w:rsid w:val="00E50C16"/>
  </w:style>
  <w:style w:type="paragraph" w:customStyle="1" w:styleId="GNHistory">
    <w:name w:val="GN History"/>
    <w:basedOn w:val="Normal"/>
    <w:rsid w:val="001104E9"/>
    <w:pPr>
      <w:spacing w:after="0"/>
    </w:pPr>
    <w:rPr>
      <w:sz w:val="20"/>
    </w:rPr>
  </w:style>
  <w:style w:type="paragraph" w:customStyle="1" w:styleId="GNHistoryHeading">
    <w:name w:val="GN History Heading"/>
    <w:basedOn w:val="GNHistory"/>
    <w:rsid w:val="001104E9"/>
    <w:pPr>
      <w:tabs>
        <w:tab w:val="left" w:pos="3402"/>
      </w:tabs>
    </w:pPr>
    <w:rPr>
      <w:rFonts w:ascii="Arial" w:hAnsi="Arial"/>
      <w:sz w:val="28"/>
    </w:rPr>
  </w:style>
  <w:style w:type="table" w:styleId="TableGrid">
    <w:name w:val="Table Grid"/>
    <w:basedOn w:val="TableNormal"/>
    <w:rsid w:val="001104E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3667"/>
    <w:rPr>
      <w:color w:val="0000FF"/>
      <w:u w:val="single"/>
    </w:rPr>
  </w:style>
  <w:style w:type="character" w:styleId="FollowedHyperlink">
    <w:name w:val="FollowedHyperlink"/>
    <w:rsid w:val="00BC3667"/>
    <w:rPr>
      <w:color w:val="800080"/>
      <w:u w:val="single"/>
    </w:rPr>
  </w:style>
  <w:style w:type="paragraph" w:styleId="EndnoteText">
    <w:name w:val="endnote text"/>
    <w:basedOn w:val="Normal"/>
    <w:semiHidden/>
    <w:rsid w:val="0060192D"/>
    <w:pPr>
      <w:spacing w:after="120"/>
      <w:ind w:left="567" w:hanging="567"/>
    </w:pPr>
    <w:rPr>
      <w:sz w:val="20"/>
      <w:szCs w:val="20"/>
    </w:rPr>
  </w:style>
  <w:style w:type="character" w:styleId="EndnoteReference">
    <w:name w:val="endnote reference"/>
    <w:semiHidden/>
    <w:rsid w:val="00EA0485"/>
    <w:rPr>
      <w:vertAlign w:val="superscript"/>
    </w:rPr>
  </w:style>
  <w:style w:type="paragraph" w:styleId="FootnoteText">
    <w:name w:val="footnote text"/>
    <w:basedOn w:val="Normal"/>
    <w:link w:val="FootnoteTextChar"/>
    <w:rsid w:val="00077DA4"/>
    <w:pPr>
      <w:tabs>
        <w:tab w:val="left" w:pos="284"/>
      </w:tabs>
      <w:spacing w:after="60"/>
    </w:pPr>
    <w:rPr>
      <w:sz w:val="18"/>
      <w:szCs w:val="20"/>
    </w:rPr>
  </w:style>
  <w:style w:type="character" w:customStyle="1" w:styleId="FootnoteTextChar">
    <w:name w:val="Footnote Text Char"/>
    <w:link w:val="FootnoteText"/>
    <w:rsid w:val="00077DA4"/>
    <w:rPr>
      <w:rFonts w:ascii="Arial Narrow" w:hAnsi="Arial Narrow"/>
      <w:sz w:val="18"/>
      <w:lang w:eastAsia="en-US"/>
    </w:rPr>
  </w:style>
  <w:style w:type="character" w:styleId="FootnoteReference">
    <w:name w:val="footnote reference"/>
    <w:rsid w:val="00165B95"/>
    <w:rPr>
      <w:vertAlign w:val="superscript"/>
    </w:rPr>
  </w:style>
  <w:style w:type="paragraph" w:styleId="TOC1">
    <w:name w:val="toc 1"/>
    <w:basedOn w:val="Normal"/>
    <w:next w:val="Normal"/>
    <w:uiPriority w:val="39"/>
    <w:qFormat/>
    <w:rsid w:val="00AC620F"/>
    <w:pPr>
      <w:tabs>
        <w:tab w:val="left" w:pos="425"/>
        <w:tab w:val="right" w:pos="8789"/>
      </w:tabs>
      <w:overflowPunct w:val="0"/>
      <w:autoSpaceDE w:val="0"/>
      <w:autoSpaceDN w:val="0"/>
      <w:adjustRightInd w:val="0"/>
      <w:spacing w:after="0"/>
      <w:textAlignment w:val="baseline"/>
    </w:pPr>
    <w:rPr>
      <w:szCs w:val="20"/>
      <w:lang w:val="en-GB"/>
    </w:rPr>
  </w:style>
  <w:style w:type="paragraph" w:styleId="Subtitle">
    <w:name w:val="Subtitle"/>
    <w:basedOn w:val="Normal"/>
    <w:next w:val="Normal"/>
    <w:link w:val="SubtitleChar"/>
    <w:qFormat/>
    <w:rsid w:val="00B83580"/>
    <w:pPr>
      <w:spacing w:after="60"/>
      <w:jc w:val="center"/>
      <w:outlineLvl w:val="1"/>
    </w:pPr>
    <w:rPr>
      <w:rFonts w:ascii="Cambria" w:hAnsi="Cambria"/>
      <w:sz w:val="24"/>
    </w:rPr>
  </w:style>
  <w:style w:type="paragraph" w:styleId="Title">
    <w:name w:val="Title"/>
    <w:basedOn w:val="Normal"/>
    <w:next w:val="Normal"/>
    <w:link w:val="TitleChar"/>
    <w:qFormat/>
    <w:rsid w:val="00702F2A"/>
    <w:pPr>
      <w:framePr w:hSpace="181" w:wrap="around" w:vAnchor="page" w:hAnchor="page" w:x="3290" w:y="285"/>
      <w:spacing w:after="0"/>
      <w:jc w:val="left"/>
    </w:pPr>
    <w:rPr>
      <w:rFonts w:ascii="Arial" w:hAnsi="Arial" w:cs="Arial"/>
      <w:sz w:val="40"/>
      <w:szCs w:val="40"/>
    </w:rPr>
  </w:style>
  <w:style w:type="character" w:customStyle="1" w:styleId="TitleChar">
    <w:name w:val="Title Char"/>
    <w:link w:val="Title"/>
    <w:rsid w:val="00702F2A"/>
    <w:rPr>
      <w:rFonts w:ascii="Arial" w:hAnsi="Arial" w:cs="Arial"/>
      <w:sz w:val="40"/>
      <w:szCs w:val="40"/>
      <w:lang w:eastAsia="en-US"/>
    </w:rPr>
  </w:style>
  <w:style w:type="character" w:styleId="CommentReference">
    <w:name w:val="annotation reference"/>
    <w:rsid w:val="00BD15F6"/>
    <w:rPr>
      <w:sz w:val="16"/>
      <w:szCs w:val="16"/>
    </w:rPr>
  </w:style>
  <w:style w:type="paragraph" w:styleId="CommentText">
    <w:name w:val="annotation text"/>
    <w:basedOn w:val="Normal"/>
    <w:link w:val="CommentTextChar"/>
    <w:rsid w:val="00BD15F6"/>
    <w:rPr>
      <w:sz w:val="20"/>
      <w:szCs w:val="20"/>
    </w:rPr>
  </w:style>
  <w:style w:type="character" w:customStyle="1" w:styleId="CommentTextChar">
    <w:name w:val="Comment Text Char"/>
    <w:link w:val="CommentText"/>
    <w:rsid w:val="00BD15F6"/>
    <w:rPr>
      <w:rFonts w:ascii="Arial Narrow" w:hAnsi="Arial Narrow"/>
      <w:lang w:val="en-US" w:eastAsia="en-US"/>
    </w:rPr>
  </w:style>
  <w:style w:type="paragraph" w:styleId="CommentSubject">
    <w:name w:val="annotation subject"/>
    <w:basedOn w:val="CommentText"/>
    <w:next w:val="CommentText"/>
    <w:link w:val="CommentSubjectChar"/>
    <w:rsid w:val="00BD15F6"/>
    <w:rPr>
      <w:b/>
      <w:bCs/>
    </w:rPr>
  </w:style>
  <w:style w:type="character" w:customStyle="1" w:styleId="CommentSubjectChar">
    <w:name w:val="Comment Subject Char"/>
    <w:link w:val="CommentSubject"/>
    <w:rsid w:val="00BD15F6"/>
    <w:rPr>
      <w:rFonts w:ascii="Arial Narrow" w:hAnsi="Arial Narrow"/>
      <w:b/>
      <w:bCs/>
      <w:lang w:val="en-US" w:eastAsia="en-US"/>
    </w:rPr>
  </w:style>
  <w:style w:type="paragraph" w:styleId="BalloonText">
    <w:name w:val="Balloon Text"/>
    <w:basedOn w:val="Normal"/>
    <w:link w:val="BalloonTextChar"/>
    <w:rsid w:val="00BD15F6"/>
    <w:pPr>
      <w:spacing w:after="0"/>
    </w:pPr>
    <w:rPr>
      <w:rFonts w:ascii="Tahoma" w:hAnsi="Tahoma" w:cs="Tahoma"/>
      <w:sz w:val="16"/>
      <w:szCs w:val="16"/>
    </w:rPr>
  </w:style>
  <w:style w:type="character" w:customStyle="1" w:styleId="BalloonTextChar">
    <w:name w:val="Balloon Text Char"/>
    <w:link w:val="BalloonText"/>
    <w:rsid w:val="00BD15F6"/>
    <w:rPr>
      <w:rFonts w:ascii="Tahoma" w:hAnsi="Tahoma" w:cs="Tahoma"/>
      <w:sz w:val="16"/>
      <w:szCs w:val="16"/>
      <w:lang w:val="en-US" w:eastAsia="en-US"/>
    </w:rPr>
  </w:style>
  <w:style w:type="character" w:customStyle="1" w:styleId="SubtitleChar">
    <w:name w:val="Subtitle Char"/>
    <w:link w:val="Subtitle"/>
    <w:rsid w:val="00B83580"/>
    <w:rPr>
      <w:rFonts w:ascii="Cambria" w:eastAsia="Times New Roman" w:hAnsi="Cambria" w:cs="Times New Roman"/>
      <w:sz w:val="24"/>
      <w:szCs w:val="24"/>
      <w:lang w:eastAsia="en-US"/>
    </w:rPr>
  </w:style>
  <w:style w:type="paragraph" w:customStyle="1" w:styleId="definitions">
    <w:name w:val="definitions"/>
    <w:basedOn w:val="Normal"/>
    <w:next w:val="Normal"/>
    <w:rsid w:val="00764108"/>
    <w:pPr>
      <w:tabs>
        <w:tab w:val="left" w:pos="426"/>
      </w:tabs>
      <w:overflowPunct w:val="0"/>
      <w:autoSpaceDE w:val="0"/>
      <w:autoSpaceDN w:val="0"/>
      <w:adjustRightInd w:val="0"/>
      <w:spacing w:after="0"/>
      <w:jc w:val="left"/>
      <w:textAlignment w:val="baseline"/>
    </w:pPr>
    <w:rPr>
      <w:rFonts w:ascii="Helvetica" w:hAnsi="Helvetica"/>
      <w:szCs w:val="20"/>
      <w:lang w:val="en-GB"/>
    </w:rPr>
  </w:style>
  <w:style w:type="paragraph" w:customStyle="1" w:styleId="Caption-BOX">
    <w:name w:val="Caption-BOX"/>
    <w:rsid w:val="00764108"/>
    <w:pPr>
      <w:widowControl w:val="0"/>
      <w:overflowPunct w:val="0"/>
      <w:autoSpaceDE w:val="0"/>
      <w:autoSpaceDN w:val="0"/>
      <w:adjustRightInd w:val="0"/>
      <w:spacing w:after="40"/>
      <w:textAlignment w:val="baseline"/>
    </w:pPr>
    <w:rPr>
      <w:rFonts w:ascii="Helvetica" w:hAnsi="Helvetica"/>
      <w:color w:val="000000"/>
      <w:sz w:val="18"/>
      <w:lang w:eastAsia="en-US"/>
    </w:rPr>
  </w:style>
  <w:style w:type="paragraph" w:customStyle="1" w:styleId="BodyText22">
    <w:name w:val="Body Text 22"/>
    <w:basedOn w:val="Normal"/>
    <w:rsid w:val="00764108"/>
    <w:pPr>
      <w:overflowPunct w:val="0"/>
      <w:autoSpaceDE w:val="0"/>
      <w:autoSpaceDN w:val="0"/>
      <w:adjustRightInd w:val="0"/>
      <w:spacing w:after="0"/>
      <w:ind w:left="3330" w:hanging="450"/>
      <w:textAlignment w:val="baseline"/>
    </w:pPr>
    <w:rPr>
      <w:rFonts w:ascii="ClassGarmnd BT" w:hAnsi="ClassGarmnd BT"/>
      <w:szCs w:val="20"/>
      <w:lang w:val="en-GB"/>
    </w:rPr>
  </w:style>
  <w:style w:type="paragraph" w:styleId="BodyTextIndent2">
    <w:name w:val="Body Text Indent 2"/>
    <w:basedOn w:val="Normal"/>
    <w:link w:val="BodyTextIndent2Char"/>
    <w:rsid w:val="00764108"/>
    <w:pPr>
      <w:overflowPunct w:val="0"/>
      <w:autoSpaceDE w:val="0"/>
      <w:autoSpaceDN w:val="0"/>
      <w:adjustRightInd w:val="0"/>
      <w:spacing w:after="0"/>
      <w:ind w:left="450" w:hanging="450"/>
      <w:textAlignment w:val="baseline"/>
    </w:pPr>
    <w:rPr>
      <w:rFonts w:ascii="ClassGarmnd BT" w:hAnsi="ClassGarmnd BT"/>
      <w:szCs w:val="20"/>
      <w:lang w:val="en-GB"/>
    </w:rPr>
  </w:style>
  <w:style w:type="character" w:customStyle="1" w:styleId="BodyTextIndent2Char">
    <w:name w:val="Body Text Indent 2 Char"/>
    <w:link w:val="BodyTextIndent2"/>
    <w:rsid w:val="00764108"/>
    <w:rPr>
      <w:rFonts w:ascii="ClassGarmnd BT" w:hAnsi="ClassGarmnd BT"/>
      <w:sz w:val="22"/>
      <w:lang w:val="en-GB" w:eastAsia="en-US"/>
    </w:rPr>
  </w:style>
  <w:style w:type="paragraph" w:styleId="BodyText">
    <w:name w:val="Body Text"/>
    <w:basedOn w:val="Normal"/>
    <w:link w:val="BodyTextChar"/>
    <w:rsid w:val="00764108"/>
    <w:pPr>
      <w:tabs>
        <w:tab w:val="left" w:pos="5040"/>
      </w:tabs>
      <w:overflowPunct w:val="0"/>
      <w:autoSpaceDE w:val="0"/>
      <w:autoSpaceDN w:val="0"/>
      <w:adjustRightInd w:val="0"/>
      <w:spacing w:after="0"/>
      <w:ind w:right="29"/>
      <w:textAlignment w:val="baseline"/>
    </w:pPr>
    <w:rPr>
      <w:rFonts w:ascii="ClassGarmnd BT" w:hAnsi="ClassGarmnd BT"/>
      <w:i/>
      <w:sz w:val="14"/>
      <w:szCs w:val="20"/>
      <w:lang w:val="en-GB"/>
    </w:rPr>
  </w:style>
  <w:style w:type="character" w:customStyle="1" w:styleId="BodyTextChar">
    <w:name w:val="Body Text Char"/>
    <w:link w:val="BodyText"/>
    <w:rsid w:val="00764108"/>
    <w:rPr>
      <w:rFonts w:ascii="ClassGarmnd BT" w:hAnsi="ClassGarmnd BT"/>
      <w:i/>
      <w:sz w:val="14"/>
      <w:lang w:val="en-GB" w:eastAsia="en-US"/>
    </w:rPr>
  </w:style>
  <w:style w:type="paragraph" w:customStyle="1" w:styleId="ListMLevel">
    <w:name w:val="ListMLevel"/>
    <w:basedOn w:val="Normal"/>
    <w:rsid w:val="00764108"/>
    <w:pPr>
      <w:tabs>
        <w:tab w:val="left" w:pos="709"/>
      </w:tabs>
      <w:overflowPunct w:val="0"/>
      <w:autoSpaceDE w:val="0"/>
      <w:autoSpaceDN w:val="0"/>
      <w:adjustRightInd w:val="0"/>
      <w:spacing w:before="240" w:after="0"/>
      <w:ind w:left="709" w:hanging="709"/>
      <w:textAlignment w:val="baseline"/>
    </w:pPr>
    <w:rPr>
      <w:rFonts w:ascii="ClassGarmnd BT" w:hAnsi="ClassGarmnd BT"/>
      <w:szCs w:val="20"/>
    </w:rPr>
  </w:style>
  <w:style w:type="paragraph" w:customStyle="1" w:styleId="BodyText21">
    <w:name w:val="Body Text 21"/>
    <w:basedOn w:val="Normal"/>
    <w:rsid w:val="00764108"/>
    <w:pPr>
      <w:overflowPunct w:val="0"/>
      <w:autoSpaceDE w:val="0"/>
      <w:autoSpaceDN w:val="0"/>
      <w:adjustRightInd w:val="0"/>
      <w:spacing w:after="0"/>
      <w:ind w:left="450"/>
      <w:textAlignment w:val="baseline"/>
    </w:pPr>
    <w:rPr>
      <w:rFonts w:ascii="ClassGarmnd BT" w:hAnsi="ClassGarmnd BT"/>
      <w:szCs w:val="20"/>
    </w:rPr>
  </w:style>
  <w:style w:type="paragraph" w:styleId="BodyTextIndent">
    <w:name w:val="Body Text Indent"/>
    <w:basedOn w:val="Normal"/>
    <w:link w:val="BodyTextIndentChar"/>
    <w:rsid w:val="00764108"/>
    <w:pPr>
      <w:overflowPunct w:val="0"/>
      <w:autoSpaceDE w:val="0"/>
      <w:autoSpaceDN w:val="0"/>
      <w:adjustRightInd w:val="0"/>
      <w:spacing w:after="0"/>
      <w:ind w:left="851" w:hanging="425"/>
      <w:textAlignment w:val="baseline"/>
    </w:pPr>
    <w:rPr>
      <w:rFonts w:ascii="ClassGarmnd BT" w:hAnsi="ClassGarmnd BT"/>
      <w:szCs w:val="20"/>
      <w:lang w:val="en-GB"/>
    </w:rPr>
  </w:style>
  <w:style w:type="character" w:customStyle="1" w:styleId="BodyTextIndentChar">
    <w:name w:val="Body Text Indent Char"/>
    <w:link w:val="BodyTextIndent"/>
    <w:rsid w:val="00764108"/>
    <w:rPr>
      <w:rFonts w:ascii="ClassGarmnd BT" w:hAnsi="ClassGarmnd BT"/>
      <w:sz w:val="22"/>
      <w:lang w:val="en-GB" w:eastAsia="en-US"/>
    </w:rPr>
  </w:style>
  <w:style w:type="paragraph" w:styleId="ListParagraph">
    <w:name w:val="List Paragraph"/>
    <w:basedOn w:val="Normal"/>
    <w:uiPriority w:val="34"/>
    <w:qFormat/>
    <w:rsid w:val="00764108"/>
    <w:pPr>
      <w:overflowPunct w:val="0"/>
      <w:autoSpaceDE w:val="0"/>
      <w:autoSpaceDN w:val="0"/>
      <w:adjustRightInd w:val="0"/>
      <w:spacing w:after="0"/>
      <w:ind w:left="720" w:hanging="851"/>
      <w:textAlignment w:val="baseline"/>
    </w:pPr>
    <w:rPr>
      <w:rFonts w:ascii="Times New Roman" w:hAnsi="Times New Roman"/>
      <w:szCs w:val="20"/>
      <w:lang w:val="en-GB"/>
    </w:rPr>
  </w:style>
  <w:style w:type="paragraph" w:styleId="NormalWeb">
    <w:name w:val="Normal (Web)"/>
    <w:basedOn w:val="Normal"/>
    <w:uiPriority w:val="99"/>
    <w:unhideWhenUsed/>
    <w:rsid w:val="002E0F8D"/>
    <w:pPr>
      <w:spacing w:before="100" w:beforeAutospacing="1" w:after="100" w:afterAutospacing="1"/>
      <w:jc w:val="left"/>
    </w:pPr>
    <w:rPr>
      <w:rFonts w:ascii="Times New Roman" w:hAnsi="Times New Roman"/>
      <w:sz w:val="24"/>
      <w:lang w:eastAsia="en-AU"/>
    </w:rPr>
  </w:style>
  <w:style w:type="character" w:styleId="Strong">
    <w:name w:val="Strong"/>
    <w:uiPriority w:val="22"/>
    <w:qFormat/>
    <w:rsid w:val="002E0F8D"/>
    <w:rPr>
      <w:b/>
      <w:bCs/>
    </w:rPr>
  </w:style>
  <w:style w:type="paragraph" w:customStyle="1" w:styleId="Default">
    <w:name w:val="Default"/>
    <w:rsid w:val="00A52B9B"/>
    <w:pPr>
      <w:autoSpaceDE w:val="0"/>
      <w:autoSpaceDN w:val="0"/>
      <w:adjustRightInd w:val="0"/>
    </w:pPr>
    <w:rPr>
      <w:rFonts w:ascii="Times New Roman" w:hAnsi="Times New Roman"/>
      <w:color w:val="000000"/>
      <w:sz w:val="24"/>
      <w:szCs w:val="24"/>
    </w:rPr>
  </w:style>
  <w:style w:type="paragraph" w:customStyle="1" w:styleId="atitle">
    <w:name w:val="atitle"/>
    <w:basedOn w:val="Default"/>
    <w:next w:val="Default"/>
    <w:uiPriority w:val="99"/>
    <w:rsid w:val="00A52B9B"/>
    <w:rPr>
      <w:rFonts w:ascii="Arial" w:hAnsi="Arial" w:cs="Arial"/>
      <w:color w:val="auto"/>
    </w:rPr>
  </w:style>
  <w:style w:type="paragraph" w:customStyle="1" w:styleId="ListA">
    <w:name w:val="ListA"/>
    <w:basedOn w:val="Default"/>
    <w:next w:val="Default"/>
    <w:uiPriority w:val="99"/>
    <w:rsid w:val="00A52B9B"/>
    <w:rPr>
      <w:color w:val="auto"/>
    </w:rPr>
  </w:style>
  <w:style w:type="paragraph" w:customStyle="1" w:styleId="ListB">
    <w:name w:val="ListB"/>
    <w:basedOn w:val="Default"/>
    <w:next w:val="Default"/>
    <w:uiPriority w:val="99"/>
    <w:rsid w:val="0069080D"/>
    <w:rPr>
      <w:color w:val="auto"/>
    </w:rPr>
  </w:style>
  <w:style w:type="character" w:customStyle="1" w:styleId="HeaderChar">
    <w:name w:val="Header Char"/>
    <w:link w:val="Header"/>
    <w:uiPriority w:val="99"/>
    <w:rsid w:val="00BA183D"/>
    <w:rPr>
      <w:rFonts w:ascii="Arial Narrow" w:hAnsi="Arial Narrow"/>
      <w:sz w:val="22"/>
      <w:szCs w:val="24"/>
      <w:lang w:eastAsia="en-US"/>
    </w:rPr>
  </w:style>
  <w:style w:type="paragraph" w:customStyle="1" w:styleId="paragraph">
    <w:name w:val="paragraph"/>
    <w:basedOn w:val="Normal"/>
    <w:rsid w:val="00217D04"/>
    <w:pPr>
      <w:spacing w:before="100" w:beforeAutospacing="1" w:after="100" w:afterAutospacing="1"/>
      <w:jc w:val="left"/>
    </w:pPr>
    <w:rPr>
      <w:rFonts w:ascii="Times New Roman" w:hAnsi="Times New Roman"/>
      <w:sz w:val="24"/>
      <w:lang w:eastAsia="en-AU"/>
    </w:rPr>
  </w:style>
  <w:style w:type="paragraph" w:styleId="Revision">
    <w:name w:val="Revision"/>
    <w:hidden/>
    <w:uiPriority w:val="99"/>
    <w:semiHidden/>
    <w:rsid w:val="00D422EC"/>
    <w:rPr>
      <w:rFonts w:ascii="Arial Narrow" w:hAnsi="Arial Narrow"/>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201">
      <w:bodyDiv w:val="1"/>
      <w:marLeft w:val="0"/>
      <w:marRight w:val="0"/>
      <w:marTop w:val="0"/>
      <w:marBottom w:val="0"/>
      <w:divBdr>
        <w:top w:val="none" w:sz="0" w:space="0" w:color="auto"/>
        <w:left w:val="none" w:sz="0" w:space="0" w:color="auto"/>
        <w:bottom w:val="none" w:sz="0" w:space="0" w:color="auto"/>
        <w:right w:val="none" w:sz="0" w:space="0" w:color="auto"/>
      </w:divBdr>
      <w:divsChild>
        <w:div w:id="31353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767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0761293">
      <w:bodyDiv w:val="1"/>
      <w:marLeft w:val="0"/>
      <w:marRight w:val="0"/>
      <w:marTop w:val="0"/>
      <w:marBottom w:val="0"/>
      <w:divBdr>
        <w:top w:val="none" w:sz="0" w:space="0" w:color="auto"/>
        <w:left w:val="none" w:sz="0" w:space="0" w:color="auto"/>
        <w:bottom w:val="none" w:sz="0" w:space="0" w:color="auto"/>
        <w:right w:val="none" w:sz="0" w:space="0" w:color="auto"/>
      </w:divBdr>
    </w:div>
    <w:div w:id="905995713">
      <w:bodyDiv w:val="1"/>
      <w:marLeft w:val="0"/>
      <w:marRight w:val="0"/>
      <w:marTop w:val="0"/>
      <w:marBottom w:val="0"/>
      <w:divBdr>
        <w:top w:val="none" w:sz="0" w:space="0" w:color="auto"/>
        <w:left w:val="none" w:sz="0" w:space="0" w:color="auto"/>
        <w:bottom w:val="none" w:sz="0" w:space="0" w:color="auto"/>
        <w:right w:val="none" w:sz="0" w:space="0" w:color="auto"/>
      </w:divBdr>
      <w:divsChild>
        <w:div w:id="1407219738">
          <w:marLeft w:val="0"/>
          <w:marRight w:val="0"/>
          <w:marTop w:val="0"/>
          <w:marBottom w:val="0"/>
          <w:divBdr>
            <w:top w:val="none" w:sz="0" w:space="0" w:color="auto"/>
            <w:left w:val="none" w:sz="0" w:space="0" w:color="auto"/>
            <w:bottom w:val="none" w:sz="0" w:space="0" w:color="auto"/>
            <w:right w:val="none" w:sz="0" w:space="0" w:color="auto"/>
          </w:divBdr>
          <w:divsChild>
            <w:div w:id="1675181476">
              <w:marLeft w:val="0"/>
              <w:marRight w:val="0"/>
              <w:marTop w:val="0"/>
              <w:marBottom w:val="0"/>
              <w:divBdr>
                <w:top w:val="none" w:sz="0" w:space="0" w:color="auto"/>
                <w:left w:val="none" w:sz="0" w:space="0" w:color="auto"/>
                <w:bottom w:val="none" w:sz="0" w:space="0" w:color="auto"/>
                <w:right w:val="none" w:sz="0" w:space="0" w:color="auto"/>
              </w:divBdr>
              <w:divsChild>
                <w:div w:id="1357149108">
                  <w:marLeft w:val="0"/>
                  <w:marRight w:val="0"/>
                  <w:marTop w:val="0"/>
                  <w:marBottom w:val="0"/>
                  <w:divBdr>
                    <w:top w:val="none" w:sz="0" w:space="0" w:color="auto"/>
                    <w:left w:val="none" w:sz="0" w:space="0" w:color="auto"/>
                    <w:bottom w:val="none" w:sz="0" w:space="0" w:color="auto"/>
                    <w:right w:val="none" w:sz="0" w:space="0" w:color="auto"/>
                  </w:divBdr>
                  <w:divsChild>
                    <w:div w:id="813911091">
                      <w:marLeft w:val="0"/>
                      <w:marRight w:val="0"/>
                      <w:marTop w:val="0"/>
                      <w:marBottom w:val="0"/>
                      <w:divBdr>
                        <w:top w:val="none" w:sz="0" w:space="0" w:color="auto"/>
                        <w:left w:val="none" w:sz="0" w:space="0" w:color="auto"/>
                        <w:bottom w:val="none" w:sz="0" w:space="0" w:color="auto"/>
                        <w:right w:val="none" w:sz="0" w:space="0" w:color="auto"/>
                      </w:divBdr>
                      <w:divsChild>
                        <w:div w:id="1287659263">
                          <w:marLeft w:val="0"/>
                          <w:marRight w:val="0"/>
                          <w:marTop w:val="0"/>
                          <w:marBottom w:val="0"/>
                          <w:divBdr>
                            <w:top w:val="single" w:sz="6" w:space="0" w:color="828282"/>
                            <w:left w:val="single" w:sz="6" w:space="0" w:color="828282"/>
                            <w:bottom w:val="single" w:sz="6" w:space="0" w:color="828282"/>
                            <w:right w:val="single" w:sz="6" w:space="0" w:color="828282"/>
                          </w:divBdr>
                          <w:divsChild>
                            <w:div w:id="705375033">
                              <w:marLeft w:val="0"/>
                              <w:marRight w:val="0"/>
                              <w:marTop w:val="0"/>
                              <w:marBottom w:val="0"/>
                              <w:divBdr>
                                <w:top w:val="none" w:sz="0" w:space="0" w:color="auto"/>
                                <w:left w:val="none" w:sz="0" w:space="0" w:color="auto"/>
                                <w:bottom w:val="none" w:sz="0" w:space="0" w:color="auto"/>
                                <w:right w:val="none" w:sz="0" w:space="0" w:color="auto"/>
                              </w:divBdr>
                              <w:divsChild>
                                <w:div w:id="1694651489">
                                  <w:marLeft w:val="0"/>
                                  <w:marRight w:val="0"/>
                                  <w:marTop w:val="0"/>
                                  <w:marBottom w:val="0"/>
                                  <w:divBdr>
                                    <w:top w:val="none" w:sz="0" w:space="0" w:color="auto"/>
                                    <w:left w:val="none" w:sz="0" w:space="0" w:color="auto"/>
                                    <w:bottom w:val="none" w:sz="0" w:space="0" w:color="auto"/>
                                    <w:right w:val="none" w:sz="0" w:space="0" w:color="auto"/>
                                  </w:divBdr>
                                  <w:divsChild>
                                    <w:div w:id="1857881564">
                                      <w:marLeft w:val="0"/>
                                      <w:marRight w:val="0"/>
                                      <w:marTop w:val="0"/>
                                      <w:marBottom w:val="0"/>
                                      <w:divBdr>
                                        <w:top w:val="none" w:sz="0" w:space="0" w:color="auto"/>
                                        <w:left w:val="none" w:sz="0" w:space="0" w:color="auto"/>
                                        <w:bottom w:val="none" w:sz="0" w:space="0" w:color="auto"/>
                                        <w:right w:val="none" w:sz="0" w:space="0" w:color="auto"/>
                                      </w:divBdr>
                                      <w:divsChild>
                                        <w:div w:id="1746562742">
                                          <w:marLeft w:val="0"/>
                                          <w:marRight w:val="0"/>
                                          <w:marTop w:val="0"/>
                                          <w:marBottom w:val="0"/>
                                          <w:divBdr>
                                            <w:top w:val="none" w:sz="0" w:space="0" w:color="auto"/>
                                            <w:left w:val="none" w:sz="0" w:space="0" w:color="auto"/>
                                            <w:bottom w:val="none" w:sz="0" w:space="0" w:color="auto"/>
                                            <w:right w:val="none" w:sz="0" w:space="0" w:color="auto"/>
                                          </w:divBdr>
                                          <w:divsChild>
                                            <w:div w:id="422917700">
                                              <w:marLeft w:val="0"/>
                                              <w:marRight w:val="0"/>
                                              <w:marTop w:val="0"/>
                                              <w:marBottom w:val="0"/>
                                              <w:divBdr>
                                                <w:top w:val="none" w:sz="0" w:space="0" w:color="auto"/>
                                                <w:left w:val="none" w:sz="0" w:space="0" w:color="auto"/>
                                                <w:bottom w:val="none" w:sz="0" w:space="0" w:color="auto"/>
                                                <w:right w:val="none" w:sz="0" w:space="0" w:color="auto"/>
                                              </w:divBdr>
                                              <w:divsChild>
                                                <w:div w:id="640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304109">
      <w:bodyDiv w:val="1"/>
      <w:marLeft w:val="0"/>
      <w:marRight w:val="0"/>
      <w:marTop w:val="0"/>
      <w:marBottom w:val="0"/>
      <w:divBdr>
        <w:top w:val="none" w:sz="0" w:space="0" w:color="auto"/>
        <w:left w:val="none" w:sz="0" w:space="0" w:color="auto"/>
        <w:bottom w:val="none" w:sz="0" w:space="0" w:color="auto"/>
        <w:right w:val="none" w:sz="0" w:space="0" w:color="auto"/>
      </w:divBdr>
      <w:divsChild>
        <w:div w:id="324363841">
          <w:marLeft w:val="0"/>
          <w:marRight w:val="0"/>
          <w:marTop w:val="0"/>
          <w:marBottom w:val="0"/>
          <w:divBdr>
            <w:top w:val="none" w:sz="0" w:space="0" w:color="auto"/>
            <w:left w:val="none" w:sz="0" w:space="0" w:color="auto"/>
            <w:bottom w:val="none" w:sz="0" w:space="0" w:color="auto"/>
            <w:right w:val="none" w:sz="0" w:space="0" w:color="auto"/>
          </w:divBdr>
          <w:divsChild>
            <w:div w:id="2084715868">
              <w:marLeft w:val="0"/>
              <w:marRight w:val="0"/>
              <w:marTop w:val="0"/>
              <w:marBottom w:val="0"/>
              <w:divBdr>
                <w:top w:val="none" w:sz="0" w:space="0" w:color="auto"/>
                <w:left w:val="none" w:sz="0" w:space="0" w:color="auto"/>
                <w:bottom w:val="none" w:sz="0" w:space="0" w:color="auto"/>
                <w:right w:val="none" w:sz="0" w:space="0" w:color="auto"/>
              </w:divBdr>
              <w:divsChild>
                <w:div w:id="7829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3E1B3-32F6-4082-A750-DDC4DF73AFF9}">
  <ds:schemaRefs>
    <ds:schemaRef ds:uri="http://schemas.openxmlformats.org/officeDocument/2006/bibliography"/>
  </ds:schemaRefs>
</ds:datastoreItem>
</file>

<file path=docMetadata/LabelInfo.xml><?xml version="1.0" encoding="utf-8"?>
<clbl:labelList xmlns:clbl="http://schemas.microsoft.com/office/2020/mipLabelMetadata">
  <clbl:label id="{070c70e8-0d30-45bc-a508-96e7da4dd713}" enabled="0" method="" siteId="{070c70e8-0d30-45bc-a508-96e7da4dd713}" removed="1"/>
</clbl:labelList>
</file>

<file path=docProps/app.xml><?xml version="1.0" encoding="utf-8"?>
<Properties xmlns="http://schemas.openxmlformats.org/officeDocument/2006/extended-properties" xmlns:vt="http://schemas.openxmlformats.org/officeDocument/2006/docPropsVTypes">
  <Template>Normal</Template>
  <TotalTime>24</TotalTime>
  <Pages>6</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Guidance Note 20 - ASX Online</vt:lpstr>
    </vt:vector>
  </TitlesOfParts>
  <Company>ASX</Company>
  <LinksUpToDate>false</LinksUpToDate>
  <CharactersWithSpaces>15463</CharactersWithSpaces>
  <SharedDoc>false</SharedDoc>
  <HLinks>
    <vt:vector size="108" baseType="variant">
      <vt:variant>
        <vt:i4>6160399</vt:i4>
      </vt:variant>
      <vt:variant>
        <vt:i4>90</vt:i4>
      </vt:variant>
      <vt:variant>
        <vt:i4>0</vt:i4>
      </vt:variant>
      <vt:variant>
        <vt:i4>5</vt:i4>
      </vt:variant>
      <vt:variant>
        <vt:lpwstr>http://www.asxonline.com/</vt:lpwstr>
      </vt:variant>
      <vt:variant>
        <vt:lpwstr/>
      </vt:variant>
      <vt:variant>
        <vt:i4>7471161</vt:i4>
      </vt:variant>
      <vt:variant>
        <vt:i4>87</vt:i4>
      </vt:variant>
      <vt:variant>
        <vt:i4>0</vt:i4>
      </vt:variant>
      <vt:variant>
        <vt:i4>5</vt:i4>
      </vt:variant>
      <vt:variant>
        <vt:lpwstr>http://www.asx.com.au/</vt:lpwstr>
      </vt:variant>
      <vt:variant>
        <vt:lpwstr/>
      </vt:variant>
      <vt:variant>
        <vt:i4>1703987</vt:i4>
      </vt:variant>
      <vt:variant>
        <vt:i4>80</vt:i4>
      </vt:variant>
      <vt:variant>
        <vt:i4>0</vt:i4>
      </vt:variant>
      <vt:variant>
        <vt:i4>5</vt:i4>
      </vt:variant>
      <vt:variant>
        <vt:lpwstr/>
      </vt:variant>
      <vt:variant>
        <vt:lpwstr>_Toc380493926</vt:lpwstr>
      </vt:variant>
      <vt:variant>
        <vt:i4>1703987</vt:i4>
      </vt:variant>
      <vt:variant>
        <vt:i4>74</vt:i4>
      </vt:variant>
      <vt:variant>
        <vt:i4>0</vt:i4>
      </vt:variant>
      <vt:variant>
        <vt:i4>5</vt:i4>
      </vt:variant>
      <vt:variant>
        <vt:lpwstr/>
      </vt:variant>
      <vt:variant>
        <vt:lpwstr>_Toc380493925</vt:lpwstr>
      </vt:variant>
      <vt:variant>
        <vt:i4>1703987</vt:i4>
      </vt:variant>
      <vt:variant>
        <vt:i4>68</vt:i4>
      </vt:variant>
      <vt:variant>
        <vt:i4>0</vt:i4>
      </vt:variant>
      <vt:variant>
        <vt:i4>5</vt:i4>
      </vt:variant>
      <vt:variant>
        <vt:lpwstr/>
      </vt:variant>
      <vt:variant>
        <vt:lpwstr>_Toc380493924</vt:lpwstr>
      </vt:variant>
      <vt:variant>
        <vt:i4>1703987</vt:i4>
      </vt:variant>
      <vt:variant>
        <vt:i4>62</vt:i4>
      </vt:variant>
      <vt:variant>
        <vt:i4>0</vt:i4>
      </vt:variant>
      <vt:variant>
        <vt:i4>5</vt:i4>
      </vt:variant>
      <vt:variant>
        <vt:lpwstr/>
      </vt:variant>
      <vt:variant>
        <vt:lpwstr>_Toc380493923</vt:lpwstr>
      </vt:variant>
      <vt:variant>
        <vt:i4>1703987</vt:i4>
      </vt:variant>
      <vt:variant>
        <vt:i4>56</vt:i4>
      </vt:variant>
      <vt:variant>
        <vt:i4>0</vt:i4>
      </vt:variant>
      <vt:variant>
        <vt:i4>5</vt:i4>
      </vt:variant>
      <vt:variant>
        <vt:lpwstr/>
      </vt:variant>
      <vt:variant>
        <vt:lpwstr>_Toc380493922</vt:lpwstr>
      </vt:variant>
      <vt:variant>
        <vt:i4>1703987</vt:i4>
      </vt:variant>
      <vt:variant>
        <vt:i4>50</vt:i4>
      </vt:variant>
      <vt:variant>
        <vt:i4>0</vt:i4>
      </vt:variant>
      <vt:variant>
        <vt:i4>5</vt:i4>
      </vt:variant>
      <vt:variant>
        <vt:lpwstr/>
      </vt:variant>
      <vt:variant>
        <vt:lpwstr>_Toc380493921</vt:lpwstr>
      </vt:variant>
      <vt:variant>
        <vt:i4>1703987</vt:i4>
      </vt:variant>
      <vt:variant>
        <vt:i4>44</vt:i4>
      </vt:variant>
      <vt:variant>
        <vt:i4>0</vt:i4>
      </vt:variant>
      <vt:variant>
        <vt:i4>5</vt:i4>
      </vt:variant>
      <vt:variant>
        <vt:lpwstr/>
      </vt:variant>
      <vt:variant>
        <vt:lpwstr>_Toc380493920</vt:lpwstr>
      </vt:variant>
      <vt:variant>
        <vt:i4>1638451</vt:i4>
      </vt:variant>
      <vt:variant>
        <vt:i4>38</vt:i4>
      </vt:variant>
      <vt:variant>
        <vt:i4>0</vt:i4>
      </vt:variant>
      <vt:variant>
        <vt:i4>5</vt:i4>
      </vt:variant>
      <vt:variant>
        <vt:lpwstr/>
      </vt:variant>
      <vt:variant>
        <vt:lpwstr>_Toc380493919</vt:lpwstr>
      </vt:variant>
      <vt:variant>
        <vt:i4>1638451</vt:i4>
      </vt:variant>
      <vt:variant>
        <vt:i4>32</vt:i4>
      </vt:variant>
      <vt:variant>
        <vt:i4>0</vt:i4>
      </vt:variant>
      <vt:variant>
        <vt:i4>5</vt:i4>
      </vt:variant>
      <vt:variant>
        <vt:lpwstr/>
      </vt:variant>
      <vt:variant>
        <vt:lpwstr>_Toc380493918</vt:lpwstr>
      </vt:variant>
      <vt:variant>
        <vt:i4>1638451</vt:i4>
      </vt:variant>
      <vt:variant>
        <vt:i4>26</vt:i4>
      </vt:variant>
      <vt:variant>
        <vt:i4>0</vt:i4>
      </vt:variant>
      <vt:variant>
        <vt:i4>5</vt:i4>
      </vt:variant>
      <vt:variant>
        <vt:lpwstr/>
      </vt:variant>
      <vt:variant>
        <vt:lpwstr>_Toc380493917</vt:lpwstr>
      </vt:variant>
      <vt:variant>
        <vt:i4>1638451</vt:i4>
      </vt:variant>
      <vt:variant>
        <vt:i4>20</vt:i4>
      </vt:variant>
      <vt:variant>
        <vt:i4>0</vt:i4>
      </vt:variant>
      <vt:variant>
        <vt:i4>5</vt:i4>
      </vt:variant>
      <vt:variant>
        <vt:lpwstr/>
      </vt:variant>
      <vt:variant>
        <vt:lpwstr>_Toc380493916</vt:lpwstr>
      </vt:variant>
      <vt:variant>
        <vt:i4>1638451</vt:i4>
      </vt:variant>
      <vt:variant>
        <vt:i4>14</vt:i4>
      </vt:variant>
      <vt:variant>
        <vt:i4>0</vt:i4>
      </vt:variant>
      <vt:variant>
        <vt:i4>5</vt:i4>
      </vt:variant>
      <vt:variant>
        <vt:lpwstr/>
      </vt:variant>
      <vt:variant>
        <vt:lpwstr>_Toc380493915</vt:lpwstr>
      </vt:variant>
      <vt:variant>
        <vt:i4>1638451</vt:i4>
      </vt:variant>
      <vt:variant>
        <vt:i4>8</vt:i4>
      </vt:variant>
      <vt:variant>
        <vt:i4>0</vt:i4>
      </vt:variant>
      <vt:variant>
        <vt:i4>5</vt:i4>
      </vt:variant>
      <vt:variant>
        <vt:lpwstr/>
      </vt:variant>
      <vt:variant>
        <vt:lpwstr>_Toc380493914</vt:lpwstr>
      </vt:variant>
      <vt:variant>
        <vt:i4>1638451</vt:i4>
      </vt:variant>
      <vt:variant>
        <vt:i4>2</vt:i4>
      </vt:variant>
      <vt:variant>
        <vt:i4>0</vt:i4>
      </vt:variant>
      <vt:variant>
        <vt:i4>5</vt:i4>
      </vt:variant>
      <vt:variant>
        <vt:lpwstr/>
      </vt:variant>
      <vt:variant>
        <vt:lpwstr>_Toc380493913</vt:lpwstr>
      </vt:variant>
      <vt:variant>
        <vt:i4>3670069</vt:i4>
      </vt:variant>
      <vt:variant>
        <vt:i4>9</vt:i4>
      </vt:variant>
      <vt:variant>
        <vt:i4>0</vt:i4>
      </vt:variant>
      <vt:variant>
        <vt:i4>5</vt:i4>
      </vt:variant>
      <vt:variant>
        <vt:lpwstr>https://www.asxonline.com/</vt:lpwstr>
      </vt:variant>
      <vt:variant>
        <vt:lpwstr/>
      </vt:variant>
      <vt:variant>
        <vt:i4>3670069</vt:i4>
      </vt:variant>
      <vt:variant>
        <vt:i4>6</vt:i4>
      </vt:variant>
      <vt:variant>
        <vt:i4>0</vt:i4>
      </vt:variant>
      <vt:variant>
        <vt:i4>5</vt:i4>
      </vt:variant>
      <vt:variant>
        <vt:lpwstr>https://www.asxonline.com/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20 - ASX Online</dc:title>
  <dc:creator>asx</dc:creator>
  <cp:lastModifiedBy>Charlotte Macdonald</cp:lastModifiedBy>
  <cp:revision>5</cp:revision>
  <cp:lastPrinted>2014-02-18T03:11:00Z</cp:lastPrinted>
  <dcterms:created xsi:type="dcterms:W3CDTF">2025-06-13T01:38:00Z</dcterms:created>
  <dcterms:modified xsi:type="dcterms:W3CDTF">2025-06-13T05:17:00Z</dcterms:modified>
</cp:coreProperties>
</file>