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2909" w:rsidRPr="00B467DE" w:rsidRDefault="004D2909" w:rsidP="004D2909">
      <w:pPr>
        <w:pStyle w:val="Heading1"/>
      </w:pPr>
      <w:bookmarkStart w:id="0" w:name="_Toc381880286"/>
      <w:r w:rsidRPr="00B467DE">
        <w:t>S</w:t>
      </w:r>
      <w:r>
        <w:t>CHEDULE 10</w:t>
      </w:r>
      <w:r w:rsidRPr="00B467DE">
        <w:tab/>
      </w:r>
      <w:r w:rsidRPr="00876146">
        <w:rPr>
          <w:bCs w:val="0"/>
          <w:kern w:val="28"/>
          <w:szCs w:val="20"/>
        </w:rPr>
        <w:t>WARRANTS</w:t>
      </w:r>
      <w:bookmarkEnd w:id="0"/>
    </w:p>
    <w:p w:rsidR="004D2909" w:rsidRPr="00B467DE" w:rsidRDefault="004D2909" w:rsidP="004D2909">
      <w:pPr>
        <w:pStyle w:val="Heading2"/>
      </w:pPr>
      <w:bookmarkStart w:id="1" w:name="_Toc381880287"/>
      <w:r w:rsidRPr="00B467DE">
        <w:t>APPENDIX 10.3.3</w:t>
      </w:r>
      <w:bookmarkEnd w:id="1"/>
    </w:p>
    <w:p w:rsidR="004D2909" w:rsidRDefault="004D2909" w:rsidP="004D2909">
      <w:pPr>
        <w:pStyle w:val="Heading3"/>
        <w:spacing w:after="0"/>
        <w:ind w:left="1701" w:right="1701"/>
      </w:pPr>
      <w:bookmarkStart w:id="2" w:name="_Toc381880288"/>
      <w:r w:rsidRPr="00B467DE">
        <w:t>FORM OF APPLICATION</w:t>
      </w:r>
      <w:r>
        <w:t xml:space="preserve"> </w:t>
      </w:r>
      <w:r w:rsidRPr="00B467DE">
        <w:t>FOR ADMISSION OF WARRANTS TO TRADING</w:t>
      </w:r>
      <w:r>
        <w:t xml:space="preserve"> STATUS</w:t>
      </w:r>
      <w:bookmarkEnd w:id="2"/>
    </w:p>
    <w:p w:rsidR="004D2909" w:rsidRPr="00240354" w:rsidRDefault="004D2909" w:rsidP="004D2909">
      <w:pPr>
        <w:spacing w:before="0"/>
        <w:jc w:val="center"/>
        <w:rPr>
          <w:b/>
        </w:rPr>
      </w:pPr>
      <w:r w:rsidRPr="00240354">
        <w:rPr>
          <w:b/>
        </w:rPr>
        <w:t>ON ASX LIMITED ABN 98 008 624 691</w:t>
      </w:r>
    </w:p>
    <w:p w:rsidR="004D2909" w:rsidRPr="00B467DE" w:rsidRDefault="004D2909" w:rsidP="004D2909">
      <w:pPr>
        <w:ind w:left="567" w:hanging="567"/>
        <w:rPr>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To:</w:t>
      </w:r>
      <w:r w:rsidRPr="00B467DE">
        <w:rPr>
          <w:rFonts w:cs="Arial"/>
          <w:sz w:val="18"/>
          <w:szCs w:val="18"/>
          <w:lang w:eastAsia="en-AU"/>
        </w:rPr>
        <w:tab/>
        <w:t xml:space="preserve">ASX Limited </w:t>
      </w:r>
      <w:r w:rsidRPr="00B467DE">
        <w:rPr>
          <w:rFonts w:cs="Arial"/>
          <w:sz w:val="18"/>
          <w:szCs w:val="18"/>
          <w:u w:val="single"/>
          <w:lang w:eastAsia="en-AU"/>
        </w:rPr>
        <w:t>ABN 98 008 624 691</w:t>
      </w:r>
      <w:r w:rsidRPr="00B467DE">
        <w:rPr>
          <w:rFonts w:cs="Arial"/>
          <w:sz w:val="18"/>
          <w:szCs w:val="18"/>
          <w:lang w:eastAsia="en-AU"/>
        </w:rPr>
        <w:t xml:space="preserve"> ("ASX")</w:t>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left" w:leader="dot" w:pos="9000"/>
        </w:tabs>
        <w:ind w:left="567" w:hanging="567"/>
        <w:rPr>
          <w:rFonts w:cs="Arial"/>
          <w:sz w:val="18"/>
          <w:szCs w:val="18"/>
          <w:lang w:eastAsia="en-AU"/>
        </w:rPr>
      </w:pPr>
      <w:r w:rsidRPr="00B467DE">
        <w:rPr>
          <w:rFonts w:cs="Arial"/>
          <w:sz w:val="18"/>
          <w:szCs w:val="18"/>
          <w:lang w:eastAsia="en-AU"/>
        </w:rPr>
        <w:tab/>
        <w:t>And</w:t>
      </w:r>
      <w:r w:rsidR="00373D49">
        <w:rPr>
          <w:rFonts w:cs="Arial"/>
          <w:sz w:val="18"/>
          <w:szCs w:val="18"/>
          <w:lang w:eastAsia="en-AU"/>
        </w:rPr>
        <w:t xml:space="preserve"> </w:t>
      </w:r>
      <w:r w:rsidR="004640BA">
        <w:rPr>
          <w:rFonts w:cs="Arial"/>
          <w:sz w:val="18"/>
          <w:szCs w:val="18"/>
          <w:lang w:eastAsia="en-AU"/>
        </w:rPr>
        <w:t>.</w:t>
      </w:r>
      <w:r w:rsidRPr="00B467DE">
        <w:rPr>
          <w:rFonts w:cs="Arial"/>
          <w:sz w:val="18"/>
          <w:szCs w:val="18"/>
          <w:lang w:eastAsia="en-AU"/>
        </w:rPr>
        <w:tab/>
      </w:r>
    </w:p>
    <w:p w:rsidR="004D2909" w:rsidRPr="00B467DE" w:rsidRDefault="004D2909" w:rsidP="004D2909">
      <w:pPr>
        <w:tabs>
          <w:tab w:val="left" w:leader="dot" w:pos="9356"/>
        </w:tabs>
        <w:ind w:left="567" w:hanging="567"/>
        <w:rPr>
          <w:rFonts w:cs="Arial"/>
          <w:sz w:val="18"/>
          <w:szCs w:val="18"/>
          <w:lang w:eastAsia="en-AU"/>
        </w:rPr>
      </w:pPr>
      <w:r w:rsidRPr="00B467DE">
        <w:rPr>
          <w:rFonts w:cs="Arial"/>
          <w:sz w:val="18"/>
          <w:szCs w:val="18"/>
          <w:lang w:eastAsia="en-AU"/>
        </w:rPr>
        <w:tab/>
        <w:t>(Name of Warrant-Issuer)</w:t>
      </w:r>
    </w:p>
    <w:p w:rsidR="004D2909" w:rsidRPr="00B467DE" w:rsidRDefault="004D2909" w:rsidP="004D2909">
      <w:pPr>
        <w:tabs>
          <w:tab w:val="left" w:leader="dot" w:pos="9356"/>
        </w:tabs>
        <w:ind w:left="567" w:hanging="567"/>
        <w:rPr>
          <w:rFonts w:cs="Arial"/>
          <w:sz w:val="18"/>
          <w:szCs w:val="18"/>
          <w:lang w:eastAsia="en-AU"/>
        </w:rPr>
      </w:pPr>
    </w:p>
    <w:p w:rsidR="004D2909" w:rsidRPr="00B467DE" w:rsidRDefault="004D2909" w:rsidP="004D2909">
      <w:pPr>
        <w:tabs>
          <w:tab w:val="clear" w:pos="851"/>
          <w:tab w:val="left" w:leader="dot" w:pos="9000"/>
        </w:tabs>
        <w:ind w:left="567" w:hanging="567"/>
        <w:rPr>
          <w:rFonts w:cs="Arial"/>
          <w:sz w:val="18"/>
          <w:szCs w:val="18"/>
          <w:lang w:eastAsia="en-AU"/>
        </w:rPr>
      </w:pPr>
      <w:r>
        <w:rPr>
          <w:rFonts w:cs="Arial"/>
          <w:sz w:val="18"/>
          <w:szCs w:val="18"/>
          <w:lang w:eastAsia="en-AU"/>
        </w:rPr>
        <w:tab/>
      </w:r>
      <w:r>
        <w:rPr>
          <w:rFonts w:cs="Arial"/>
          <w:sz w:val="18"/>
          <w:szCs w:val="18"/>
          <w:lang w:eastAsia="en-AU"/>
        </w:rPr>
        <w:tab/>
      </w:r>
    </w:p>
    <w:p w:rsidR="004D2909" w:rsidRPr="00B467DE" w:rsidRDefault="004D2909" w:rsidP="004D2909">
      <w:pPr>
        <w:tabs>
          <w:tab w:val="left" w:leader="dot" w:pos="9356"/>
        </w:tabs>
        <w:ind w:left="567" w:hanging="567"/>
        <w:rPr>
          <w:rFonts w:cs="Arial"/>
          <w:sz w:val="18"/>
          <w:szCs w:val="18"/>
          <w:lang w:eastAsia="en-AU"/>
        </w:rPr>
      </w:pPr>
      <w:r w:rsidRPr="00B467DE">
        <w:rPr>
          <w:rFonts w:cs="Arial"/>
          <w:sz w:val="18"/>
          <w:szCs w:val="18"/>
          <w:lang w:eastAsia="en-AU"/>
        </w:rPr>
        <w:tab/>
        <w:t xml:space="preserve">(Name of Guarantor </w:t>
      </w:r>
      <w:r>
        <w:rPr>
          <w:rFonts w:cs="Arial"/>
          <w:sz w:val="18"/>
          <w:szCs w:val="18"/>
          <w:lang w:eastAsia="en-AU"/>
        </w:rPr>
        <w:t>–</w:t>
      </w:r>
      <w:r w:rsidRPr="00B467DE">
        <w:rPr>
          <w:rFonts w:cs="Arial"/>
          <w:sz w:val="18"/>
          <w:szCs w:val="18"/>
          <w:lang w:eastAsia="en-AU"/>
        </w:rPr>
        <w:t xml:space="preserve"> if applicable)</w:t>
      </w:r>
    </w:p>
    <w:p w:rsidR="004D2909" w:rsidRPr="00B467DE" w:rsidRDefault="004D2909" w:rsidP="004D2909">
      <w:pPr>
        <w:tabs>
          <w:tab w:val="left" w:leader="dot" w:pos="9356"/>
        </w:tabs>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hereby applies for admission to Trading Status on ASX of the following warrants: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168"/>
        <w:gridCol w:w="1013"/>
        <w:gridCol w:w="865"/>
        <w:gridCol w:w="1306"/>
        <w:gridCol w:w="993"/>
        <w:gridCol w:w="1218"/>
        <w:gridCol w:w="1498"/>
      </w:tblGrid>
      <w:tr w:rsidR="004D2909" w:rsidRPr="00335C25" w:rsidTr="006A4D7A">
        <w:tc>
          <w:tcPr>
            <w:tcW w:w="921" w:type="dxa"/>
            <w:shd w:val="clear" w:color="auto" w:fill="auto"/>
          </w:tcPr>
          <w:p w:rsidR="004D2909" w:rsidRPr="00335C25" w:rsidRDefault="004D2909" w:rsidP="006A4D7A">
            <w:pPr>
              <w:autoSpaceDE w:val="0"/>
              <w:autoSpaceDN w:val="0"/>
              <w:adjustRightInd w:val="0"/>
              <w:jc w:val="center"/>
              <w:rPr>
                <w:rFonts w:cs="Arial"/>
                <w:sz w:val="18"/>
                <w:szCs w:val="18"/>
                <w:lang w:eastAsia="en-AU"/>
              </w:rPr>
            </w:pPr>
            <w:r w:rsidRPr="00335C25">
              <w:rPr>
                <w:rFonts w:cs="Arial"/>
                <w:sz w:val="18"/>
                <w:szCs w:val="18"/>
                <w:lang w:eastAsia="en-AU"/>
              </w:rPr>
              <w:t>ASX Code</w:t>
            </w:r>
          </w:p>
        </w:tc>
        <w:tc>
          <w:tcPr>
            <w:tcW w:w="1198" w:type="dxa"/>
            <w:shd w:val="clear" w:color="auto" w:fill="auto"/>
          </w:tcPr>
          <w:p w:rsidR="004D2909" w:rsidRPr="00335C25" w:rsidRDefault="004D2909" w:rsidP="006A4D7A">
            <w:pPr>
              <w:autoSpaceDE w:val="0"/>
              <w:autoSpaceDN w:val="0"/>
              <w:adjustRightInd w:val="0"/>
              <w:jc w:val="center"/>
              <w:rPr>
                <w:rFonts w:cs="Arial"/>
                <w:sz w:val="18"/>
                <w:szCs w:val="18"/>
                <w:lang w:eastAsia="en-AU"/>
              </w:rPr>
            </w:pPr>
            <w:r w:rsidRPr="00335C25">
              <w:rPr>
                <w:rFonts w:cs="Arial"/>
                <w:sz w:val="18"/>
                <w:szCs w:val="18"/>
                <w:lang w:eastAsia="en-AU"/>
              </w:rPr>
              <w:t>Exercise Price</w:t>
            </w:r>
          </w:p>
        </w:tc>
        <w:tc>
          <w:tcPr>
            <w:tcW w:w="1047" w:type="dxa"/>
            <w:shd w:val="clear" w:color="auto" w:fill="auto"/>
          </w:tcPr>
          <w:p w:rsidR="004D2909" w:rsidRPr="00335C25" w:rsidRDefault="004D2909" w:rsidP="006A4D7A">
            <w:pPr>
              <w:autoSpaceDE w:val="0"/>
              <w:autoSpaceDN w:val="0"/>
              <w:adjustRightInd w:val="0"/>
              <w:jc w:val="center"/>
              <w:rPr>
                <w:rFonts w:cs="Arial"/>
                <w:sz w:val="18"/>
                <w:szCs w:val="18"/>
                <w:lang w:eastAsia="en-AU"/>
              </w:rPr>
            </w:pPr>
            <w:r w:rsidRPr="00335C25">
              <w:rPr>
                <w:rFonts w:cs="Arial"/>
                <w:sz w:val="18"/>
                <w:szCs w:val="18"/>
                <w:lang w:eastAsia="en-AU"/>
              </w:rPr>
              <w:t>Expiry Date</w:t>
            </w:r>
          </w:p>
        </w:tc>
        <w:tc>
          <w:tcPr>
            <w:tcW w:w="867" w:type="dxa"/>
            <w:shd w:val="clear" w:color="auto" w:fill="auto"/>
          </w:tcPr>
          <w:p w:rsidR="004D2909" w:rsidRPr="00335C25" w:rsidRDefault="004D2909" w:rsidP="006A4D7A">
            <w:pPr>
              <w:autoSpaceDE w:val="0"/>
              <w:autoSpaceDN w:val="0"/>
              <w:adjustRightInd w:val="0"/>
              <w:jc w:val="center"/>
              <w:rPr>
                <w:rFonts w:cs="Arial"/>
                <w:sz w:val="18"/>
                <w:szCs w:val="18"/>
                <w:lang w:eastAsia="en-AU"/>
              </w:rPr>
            </w:pPr>
            <w:r w:rsidRPr="00335C25">
              <w:rPr>
                <w:rFonts w:cs="Arial"/>
                <w:sz w:val="18"/>
                <w:szCs w:val="18"/>
                <w:lang w:eastAsia="en-AU"/>
              </w:rPr>
              <w:t>Call/Put</w:t>
            </w:r>
          </w:p>
        </w:tc>
        <w:tc>
          <w:tcPr>
            <w:tcW w:w="1332" w:type="dxa"/>
            <w:shd w:val="clear" w:color="auto" w:fill="auto"/>
          </w:tcPr>
          <w:p w:rsidR="004D2909" w:rsidRPr="00335C25" w:rsidRDefault="004D2909" w:rsidP="006A4D7A">
            <w:pPr>
              <w:autoSpaceDE w:val="0"/>
              <w:autoSpaceDN w:val="0"/>
              <w:adjustRightInd w:val="0"/>
              <w:jc w:val="center"/>
              <w:rPr>
                <w:rFonts w:cs="Arial"/>
                <w:sz w:val="18"/>
                <w:szCs w:val="18"/>
                <w:lang w:eastAsia="en-AU"/>
              </w:rPr>
            </w:pPr>
            <w:r w:rsidRPr="00335C25">
              <w:rPr>
                <w:rFonts w:cs="Arial"/>
                <w:sz w:val="18"/>
                <w:szCs w:val="18"/>
                <w:lang w:eastAsia="en-AU"/>
              </w:rPr>
              <w:t>Index Multiplier (if applicable)</w:t>
            </w:r>
          </w:p>
        </w:tc>
        <w:tc>
          <w:tcPr>
            <w:tcW w:w="1033" w:type="dxa"/>
            <w:shd w:val="clear" w:color="auto" w:fill="auto"/>
          </w:tcPr>
          <w:p w:rsidR="004D2909" w:rsidRPr="00335C25" w:rsidRDefault="004D2909" w:rsidP="006A4D7A">
            <w:pPr>
              <w:autoSpaceDE w:val="0"/>
              <w:autoSpaceDN w:val="0"/>
              <w:adjustRightInd w:val="0"/>
              <w:jc w:val="center"/>
              <w:rPr>
                <w:rFonts w:cs="Arial"/>
                <w:sz w:val="18"/>
                <w:szCs w:val="18"/>
                <w:lang w:eastAsia="en-AU"/>
              </w:rPr>
            </w:pPr>
            <w:r w:rsidRPr="00335C25">
              <w:rPr>
                <w:rFonts w:cs="Arial"/>
                <w:sz w:val="18"/>
                <w:szCs w:val="18"/>
                <w:lang w:eastAsia="en-AU"/>
              </w:rPr>
              <w:t>Issue Size</w:t>
            </w:r>
          </w:p>
        </w:tc>
        <w:tc>
          <w:tcPr>
            <w:tcW w:w="1235" w:type="dxa"/>
            <w:shd w:val="clear" w:color="auto" w:fill="auto"/>
          </w:tcPr>
          <w:p w:rsidR="004D2909" w:rsidRPr="00335C25" w:rsidRDefault="004D2909" w:rsidP="006A4D7A">
            <w:pPr>
              <w:autoSpaceDE w:val="0"/>
              <w:autoSpaceDN w:val="0"/>
              <w:adjustRightInd w:val="0"/>
              <w:jc w:val="center"/>
              <w:rPr>
                <w:rFonts w:cs="Arial"/>
                <w:sz w:val="18"/>
                <w:szCs w:val="18"/>
                <w:lang w:eastAsia="en-AU"/>
              </w:rPr>
            </w:pPr>
            <w:r w:rsidRPr="00335C25">
              <w:rPr>
                <w:rFonts w:cs="Arial"/>
                <w:sz w:val="18"/>
                <w:szCs w:val="18"/>
                <w:lang w:eastAsia="en-AU"/>
              </w:rPr>
              <w:t>Warrants per Underlying Parcel</w:t>
            </w:r>
          </w:p>
        </w:tc>
        <w:tc>
          <w:tcPr>
            <w:tcW w:w="1546" w:type="dxa"/>
            <w:shd w:val="clear" w:color="auto" w:fill="auto"/>
          </w:tcPr>
          <w:p w:rsidR="004D2909" w:rsidRPr="00335C25" w:rsidRDefault="004D2909" w:rsidP="006A4D7A">
            <w:pPr>
              <w:autoSpaceDE w:val="0"/>
              <w:autoSpaceDN w:val="0"/>
              <w:adjustRightInd w:val="0"/>
              <w:jc w:val="center"/>
              <w:rPr>
                <w:rFonts w:cs="Arial"/>
                <w:sz w:val="18"/>
                <w:szCs w:val="18"/>
                <w:lang w:eastAsia="en-AU"/>
              </w:rPr>
            </w:pPr>
            <w:r w:rsidRPr="00335C25">
              <w:rPr>
                <w:rFonts w:cs="Arial"/>
                <w:sz w:val="18"/>
                <w:szCs w:val="18"/>
                <w:lang w:eastAsia="en-AU"/>
              </w:rPr>
              <w:t>Exercise Style (American/ European)</w:t>
            </w:r>
          </w:p>
        </w:tc>
      </w:tr>
      <w:tr w:rsidR="004D2909" w:rsidRPr="00335C25" w:rsidTr="006A4D7A">
        <w:tc>
          <w:tcPr>
            <w:tcW w:w="921" w:type="dxa"/>
            <w:shd w:val="clear" w:color="auto" w:fill="auto"/>
          </w:tcPr>
          <w:p w:rsidR="004D2909" w:rsidRPr="00335C25" w:rsidRDefault="004D2909" w:rsidP="006A4D7A">
            <w:pPr>
              <w:autoSpaceDE w:val="0"/>
              <w:autoSpaceDN w:val="0"/>
              <w:adjustRightInd w:val="0"/>
              <w:rPr>
                <w:rFonts w:cs="Arial"/>
                <w:sz w:val="18"/>
                <w:szCs w:val="18"/>
                <w:lang w:eastAsia="en-AU"/>
              </w:rPr>
            </w:pPr>
          </w:p>
          <w:p w:rsidR="004D2909" w:rsidRPr="00335C25" w:rsidRDefault="004D2909" w:rsidP="006A4D7A">
            <w:pPr>
              <w:autoSpaceDE w:val="0"/>
              <w:autoSpaceDN w:val="0"/>
              <w:adjustRightInd w:val="0"/>
              <w:rPr>
                <w:rFonts w:cs="Arial"/>
                <w:sz w:val="18"/>
                <w:szCs w:val="18"/>
                <w:lang w:eastAsia="en-AU"/>
              </w:rPr>
            </w:pPr>
          </w:p>
        </w:tc>
        <w:tc>
          <w:tcPr>
            <w:tcW w:w="1198"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4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86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332"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33"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235"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546" w:type="dxa"/>
            <w:shd w:val="clear" w:color="auto" w:fill="auto"/>
          </w:tcPr>
          <w:p w:rsidR="004D2909" w:rsidRPr="00335C25" w:rsidRDefault="004D2909" w:rsidP="006A4D7A">
            <w:pPr>
              <w:autoSpaceDE w:val="0"/>
              <w:autoSpaceDN w:val="0"/>
              <w:adjustRightInd w:val="0"/>
              <w:rPr>
                <w:rFonts w:cs="Arial"/>
                <w:sz w:val="18"/>
                <w:szCs w:val="18"/>
                <w:lang w:eastAsia="en-AU"/>
              </w:rPr>
            </w:pPr>
          </w:p>
        </w:tc>
      </w:tr>
      <w:tr w:rsidR="004D2909" w:rsidRPr="00335C25" w:rsidTr="006A4D7A">
        <w:tc>
          <w:tcPr>
            <w:tcW w:w="921" w:type="dxa"/>
            <w:shd w:val="clear" w:color="auto" w:fill="auto"/>
          </w:tcPr>
          <w:p w:rsidR="004D2909" w:rsidRPr="00335C25" w:rsidRDefault="004D2909" w:rsidP="006A4D7A">
            <w:pPr>
              <w:autoSpaceDE w:val="0"/>
              <w:autoSpaceDN w:val="0"/>
              <w:adjustRightInd w:val="0"/>
              <w:rPr>
                <w:rFonts w:cs="Arial"/>
                <w:sz w:val="18"/>
                <w:szCs w:val="18"/>
                <w:lang w:eastAsia="en-AU"/>
              </w:rPr>
            </w:pPr>
          </w:p>
          <w:p w:rsidR="004D2909" w:rsidRPr="00335C25" w:rsidRDefault="004D2909" w:rsidP="006A4D7A">
            <w:pPr>
              <w:autoSpaceDE w:val="0"/>
              <w:autoSpaceDN w:val="0"/>
              <w:adjustRightInd w:val="0"/>
              <w:rPr>
                <w:rFonts w:cs="Arial"/>
                <w:sz w:val="18"/>
                <w:szCs w:val="18"/>
                <w:lang w:eastAsia="en-AU"/>
              </w:rPr>
            </w:pPr>
          </w:p>
        </w:tc>
        <w:tc>
          <w:tcPr>
            <w:tcW w:w="1198"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4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86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332"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33"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235"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546" w:type="dxa"/>
            <w:shd w:val="clear" w:color="auto" w:fill="auto"/>
          </w:tcPr>
          <w:p w:rsidR="004D2909" w:rsidRPr="00335C25" w:rsidRDefault="004D2909" w:rsidP="006A4D7A">
            <w:pPr>
              <w:autoSpaceDE w:val="0"/>
              <w:autoSpaceDN w:val="0"/>
              <w:adjustRightInd w:val="0"/>
              <w:rPr>
                <w:rFonts w:cs="Arial"/>
                <w:sz w:val="18"/>
                <w:szCs w:val="18"/>
                <w:lang w:eastAsia="en-AU"/>
              </w:rPr>
            </w:pPr>
          </w:p>
        </w:tc>
      </w:tr>
      <w:tr w:rsidR="004D2909" w:rsidRPr="00335C25" w:rsidTr="006A4D7A">
        <w:tc>
          <w:tcPr>
            <w:tcW w:w="921" w:type="dxa"/>
            <w:shd w:val="clear" w:color="auto" w:fill="auto"/>
          </w:tcPr>
          <w:p w:rsidR="004D2909" w:rsidRPr="00335C25" w:rsidRDefault="004D2909" w:rsidP="006A4D7A">
            <w:pPr>
              <w:autoSpaceDE w:val="0"/>
              <w:autoSpaceDN w:val="0"/>
              <w:adjustRightInd w:val="0"/>
              <w:rPr>
                <w:rFonts w:cs="Arial"/>
                <w:sz w:val="18"/>
                <w:szCs w:val="18"/>
                <w:lang w:eastAsia="en-AU"/>
              </w:rPr>
            </w:pPr>
          </w:p>
          <w:p w:rsidR="004D2909" w:rsidRPr="00335C25" w:rsidRDefault="004D2909" w:rsidP="006A4D7A">
            <w:pPr>
              <w:autoSpaceDE w:val="0"/>
              <w:autoSpaceDN w:val="0"/>
              <w:adjustRightInd w:val="0"/>
              <w:rPr>
                <w:rFonts w:cs="Arial"/>
                <w:sz w:val="18"/>
                <w:szCs w:val="18"/>
                <w:lang w:eastAsia="en-AU"/>
              </w:rPr>
            </w:pPr>
          </w:p>
        </w:tc>
        <w:tc>
          <w:tcPr>
            <w:tcW w:w="1198"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4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86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332"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33"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235"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546" w:type="dxa"/>
            <w:shd w:val="clear" w:color="auto" w:fill="auto"/>
          </w:tcPr>
          <w:p w:rsidR="004D2909" w:rsidRPr="00335C25" w:rsidRDefault="004D2909" w:rsidP="006A4D7A">
            <w:pPr>
              <w:autoSpaceDE w:val="0"/>
              <w:autoSpaceDN w:val="0"/>
              <w:adjustRightInd w:val="0"/>
              <w:rPr>
                <w:rFonts w:cs="Arial"/>
                <w:sz w:val="18"/>
                <w:szCs w:val="18"/>
                <w:lang w:eastAsia="en-AU"/>
              </w:rPr>
            </w:pPr>
          </w:p>
        </w:tc>
      </w:tr>
      <w:tr w:rsidR="004D2909" w:rsidRPr="00335C25" w:rsidTr="006A4D7A">
        <w:tc>
          <w:tcPr>
            <w:tcW w:w="921" w:type="dxa"/>
            <w:shd w:val="clear" w:color="auto" w:fill="auto"/>
          </w:tcPr>
          <w:p w:rsidR="004D2909" w:rsidRPr="00335C25" w:rsidRDefault="004D2909" w:rsidP="006A4D7A">
            <w:pPr>
              <w:autoSpaceDE w:val="0"/>
              <w:autoSpaceDN w:val="0"/>
              <w:adjustRightInd w:val="0"/>
              <w:rPr>
                <w:rFonts w:cs="Arial"/>
                <w:sz w:val="18"/>
                <w:szCs w:val="18"/>
                <w:lang w:eastAsia="en-AU"/>
              </w:rPr>
            </w:pPr>
          </w:p>
          <w:p w:rsidR="004D2909" w:rsidRPr="00335C25" w:rsidRDefault="004D2909" w:rsidP="006A4D7A">
            <w:pPr>
              <w:autoSpaceDE w:val="0"/>
              <w:autoSpaceDN w:val="0"/>
              <w:adjustRightInd w:val="0"/>
              <w:rPr>
                <w:rFonts w:cs="Arial"/>
                <w:sz w:val="18"/>
                <w:szCs w:val="18"/>
                <w:lang w:eastAsia="en-AU"/>
              </w:rPr>
            </w:pPr>
          </w:p>
        </w:tc>
        <w:tc>
          <w:tcPr>
            <w:tcW w:w="1198"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4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86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332"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33"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235"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546" w:type="dxa"/>
            <w:shd w:val="clear" w:color="auto" w:fill="auto"/>
          </w:tcPr>
          <w:p w:rsidR="004D2909" w:rsidRPr="00335C25" w:rsidRDefault="004D2909" w:rsidP="006A4D7A">
            <w:pPr>
              <w:autoSpaceDE w:val="0"/>
              <w:autoSpaceDN w:val="0"/>
              <w:adjustRightInd w:val="0"/>
              <w:rPr>
                <w:rFonts w:cs="Arial"/>
                <w:sz w:val="18"/>
                <w:szCs w:val="18"/>
                <w:lang w:eastAsia="en-AU"/>
              </w:rPr>
            </w:pPr>
          </w:p>
        </w:tc>
      </w:tr>
      <w:tr w:rsidR="004D2909" w:rsidRPr="00335C25" w:rsidTr="006A4D7A">
        <w:tc>
          <w:tcPr>
            <w:tcW w:w="921" w:type="dxa"/>
            <w:shd w:val="clear" w:color="auto" w:fill="auto"/>
          </w:tcPr>
          <w:p w:rsidR="004D2909" w:rsidRPr="00335C25" w:rsidRDefault="004D2909" w:rsidP="006A4D7A">
            <w:pPr>
              <w:autoSpaceDE w:val="0"/>
              <w:autoSpaceDN w:val="0"/>
              <w:adjustRightInd w:val="0"/>
              <w:rPr>
                <w:rFonts w:cs="Arial"/>
                <w:sz w:val="18"/>
                <w:szCs w:val="18"/>
                <w:lang w:eastAsia="en-AU"/>
              </w:rPr>
            </w:pPr>
          </w:p>
          <w:p w:rsidR="004D2909" w:rsidRPr="00335C25" w:rsidRDefault="004D2909" w:rsidP="006A4D7A">
            <w:pPr>
              <w:autoSpaceDE w:val="0"/>
              <w:autoSpaceDN w:val="0"/>
              <w:adjustRightInd w:val="0"/>
              <w:rPr>
                <w:rFonts w:cs="Arial"/>
                <w:sz w:val="18"/>
                <w:szCs w:val="18"/>
                <w:lang w:eastAsia="en-AU"/>
              </w:rPr>
            </w:pPr>
          </w:p>
        </w:tc>
        <w:tc>
          <w:tcPr>
            <w:tcW w:w="1198"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4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86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332"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33"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235"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546" w:type="dxa"/>
            <w:shd w:val="clear" w:color="auto" w:fill="auto"/>
          </w:tcPr>
          <w:p w:rsidR="004D2909" w:rsidRPr="00335C25" w:rsidRDefault="004D2909" w:rsidP="006A4D7A">
            <w:pPr>
              <w:autoSpaceDE w:val="0"/>
              <w:autoSpaceDN w:val="0"/>
              <w:adjustRightInd w:val="0"/>
              <w:rPr>
                <w:rFonts w:cs="Arial"/>
                <w:sz w:val="18"/>
                <w:szCs w:val="18"/>
                <w:lang w:eastAsia="en-AU"/>
              </w:rPr>
            </w:pPr>
          </w:p>
        </w:tc>
      </w:tr>
      <w:tr w:rsidR="004D2909" w:rsidRPr="00335C25" w:rsidTr="006A4D7A">
        <w:tc>
          <w:tcPr>
            <w:tcW w:w="921" w:type="dxa"/>
            <w:shd w:val="clear" w:color="auto" w:fill="auto"/>
          </w:tcPr>
          <w:p w:rsidR="004D2909" w:rsidRPr="00335C25" w:rsidRDefault="004D2909" w:rsidP="006A4D7A">
            <w:pPr>
              <w:autoSpaceDE w:val="0"/>
              <w:autoSpaceDN w:val="0"/>
              <w:adjustRightInd w:val="0"/>
              <w:rPr>
                <w:rFonts w:cs="Arial"/>
                <w:sz w:val="18"/>
                <w:szCs w:val="18"/>
                <w:lang w:eastAsia="en-AU"/>
              </w:rPr>
            </w:pPr>
          </w:p>
          <w:p w:rsidR="004D2909" w:rsidRPr="00335C25" w:rsidRDefault="004D2909" w:rsidP="006A4D7A">
            <w:pPr>
              <w:autoSpaceDE w:val="0"/>
              <w:autoSpaceDN w:val="0"/>
              <w:adjustRightInd w:val="0"/>
              <w:rPr>
                <w:rFonts w:cs="Arial"/>
                <w:sz w:val="18"/>
                <w:szCs w:val="18"/>
                <w:lang w:eastAsia="en-AU"/>
              </w:rPr>
            </w:pPr>
          </w:p>
        </w:tc>
        <w:tc>
          <w:tcPr>
            <w:tcW w:w="1198"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4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867"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332"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033"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235" w:type="dxa"/>
            <w:shd w:val="clear" w:color="auto" w:fill="auto"/>
          </w:tcPr>
          <w:p w:rsidR="004D2909" w:rsidRPr="00335C25" w:rsidRDefault="004D2909" w:rsidP="006A4D7A">
            <w:pPr>
              <w:autoSpaceDE w:val="0"/>
              <w:autoSpaceDN w:val="0"/>
              <w:adjustRightInd w:val="0"/>
              <w:rPr>
                <w:rFonts w:cs="Arial"/>
                <w:sz w:val="18"/>
                <w:szCs w:val="18"/>
                <w:lang w:eastAsia="en-AU"/>
              </w:rPr>
            </w:pPr>
          </w:p>
        </w:tc>
        <w:tc>
          <w:tcPr>
            <w:tcW w:w="1546" w:type="dxa"/>
            <w:shd w:val="clear" w:color="auto" w:fill="auto"/>
          </w:tcPr>
          <w:p w:rsidR="004D2909" w:rsidRPr="00335C25" w:rsidRDefault="004D2909" w:rsidP="006A4D7A">
            <w:pPr>
              <w:autoSpaceDE w:val="0"/>
              <w:autoSpaceDN w:val="0"/>
              <w:adjustRightInd w:val="0"/>
              <w:rPr>
                <w:rFonts w:cs="Arial"/>
                <w:sz w:val="18"/>
                <w:szCs w:val="18"/>
                <w:lang w:eastAsia="en-AU"/>
              </w:rPr>
            </w:pPr>
          </w:p>
        </w:tc>
      </w:tr>
    </w:tbl>
    <w:p w:rsidR="004D2909" w:rsidRPr="00B467DE" w:rsidRDefault="004D2909" w:rsidP="004D2909">
      <w:pPr>
        <w:rPr>
          <w:rFonts w:cs="Arial"/>
          <w:sz w:val="18"/>
          <w:szCs w:val="18"/>
          <w:lang w:eastAsia="en-AU"/>
        </w:rPr>
      </w:pPr>
    </w:p>
    <w:p w:rsidR="004D2909" w:rsidRPr="00B467DE" w:rsidRDefault="004D2909" w:rsidP="004D2909">
      <w:pPr>
        <w:rPr>
          <w:rFonts w:cs="Arial"/>
          <w:sz w:val="18"/>
          <w:szCs w:val="18"/>
          <w:lang w:eastAsia="en-AU"/>
        </w:rPr>
      </w:pPr>
      <w:r w:rsidRPr="00B467DE">
        <w:rPr>
          <w:rFonts w:cs="Arial"/>
          <w:sz w:val="18"/>
          <w:szCs w:val="18"/>
          <w:lang w:eastAsia="en-AU"/>
        </w:rPr>
        <w:t>In making this application the Warrant-Issuer (and Guarantor if applicable) acknowledge(s) and agree(s) that if the abovementioned Warrants are admitted to Trading Status it (they) will comply with the provisions of the ASX Operating Rules and any condition imposed pursuant to the Operating Rules (unless compliance is waived at the absolute discretion of ASX) as amended from time to time and for the time being in force until such time as all obligations of the Warrant-Issuer (and Guarantor if applicable) arising from the Terms of Issue and Schedule 10 of the Operating Rules (“Warrant Rules”) have been settled.</w:t>
      </w:r>
    </w:p>
    <w:p w:rsidR="004D2909" w:rsidRPr="00B467DE" w:rsidRDefault="004D2909" w:rsidP="004D2909">
      <w:pPr>
        <w:rPr>
          <w:rFonts w:cs="Arial"/>
          <w:sz w:val="18"/>
          <w:szCs w:val="18"/>
          <w:lang w:eastAsia="en-AU"/>
        </w:rPr>
      </w:pPr>
      <w:r w:rsidRPr="00B467DE">
        <w:rPr>
          <w:rFonts w:cs="Arial"/>
          <w:sz w:val="18"/>
          <w:szCs w:val="18"/>
          <w:lang w:eastAsia="en-AU"/>
        </w:rPr>
        <w:t>In making this application, the Warrant-Issuer (and Guarantor if applicable) acknowledge(s) and agree(s) that if the abovementioned Warrants are admitted to Trading Status retention of Trading Status for those Warrants will be at the absolute discretion (without qualification whatsoever) of ASX and that in particular (but without restricting the generality of the foregoing) withdrawal of Trading Status may, at the absolute discretion of ASX, take place if the Warrant-Issuer becomes unable or unwilling or in any respect fails to comply with the Terms of Issue, the Warrant Rules of ASX for the time being in force, or if ASX in its absolute discretion thinks fit.</w:t>
      </w:r>
    </w:p>
    <w:p w:rsidR="004D2909" w:rsidRPr="00B467DE" w:rsidRDefault="004D2909" w:rsidP="004D2909">
      <w:pPr>
        <w:tabs>
          <w:tab w:val="left" w:leader="dot" w:pos="8505"/>
        </w:tabs>
        <w:spacing w:after="0"/>
        <w:ind w:left="567" w:hanging="567"/>
        <w:rPr>
          <w:rFonts w:cs="Arial"/>
          <w:sz w:val="18"/>
          <w:szCs w:val="18"/>
          <w:lang w:eastAsia="en-AU"/>
        </w:rPr>
      </w:pPr>
      <w:r w:rsidRPr="00B467DE">
        <w:rPr>
          <w:rFonts w:cs="Arial"/>
          <w:sz w:val="18"/>
          <w:szCs w:val="18"/>
          <w:lang w:eastAsia="en-AU"/>
        </w:rPr>
        <w:t>l.</w:t>
      </w:r>
      <w:r w:rsidRPr="00B467DE">
        <w:rPr>
          <w:rFonts w:cs="Arial"/>
          <w:sz w:val="18"/>
          <w:szCs w:val="18"/>
          <w:lang w:eastAsia="en-AU"/>
        </w:rPr>
        <w:tab/>
        <w:t xml:space="preserve">The Warrant-Issuer was incorporated/registered in </w:t>
      </w:r>
      <w:r w:rsidRPr="00B467DE">
        <w:rPr>
          <w:rFonts w:cs="Arial"/>
          <w:sz w:val="18"/>
          <w:szCs w:val="18"/>
          <w:lang w:eastAsia="en-AU"/>
        </w:rPr>
        <w:tab/>
        <w:t xml:space="preserve"> under</w:t>
      </w:r>
    </w:p>
    <w:p w:rsidR="004D2909" w:rsidRPr="00B467DE" w:rsidRDefault="004D2909" w:rsidP="004D2909">
      <w:pPr>
        <w:tabs>
          <w:tab w:val="center" w:pos="6521"/>
        </w:tabs>
        <w:spacing w:before="0"/>
        <w:ind w:left="567" w:hanging="567"/>
        <w:rPr>
          <w:rFonts w:cs="Arial"/>
          <w:sz w:val="18"/>
          <w:szCs w:val="18"/>
          <w:lang w:eastAsia="en-AU"/>
        </w:rPr>
      </w:pPr>
      <w:r w:rsidRPr="00B467DE">
        <w:rPr>
          <w:rFonts w:cs="Arial"/>
          <w:sz w:val="18"/>
          <w:szCs w:val="18"/>
          <w:lang w:eastAsia="en-AU"/>
        </w:rPr>
        <w:tab/>
      </w:r>
      <w:r>
        <w:rPr>
          <w:rFonts w:cs="Arial"/>
          <w:sz w:val="18"/>
          <w:szCs w:val="18"/>
          <w:lang w:eastAsia="en-AU"/>
        </w:rPr>
        <w:tab/>
      </w:r>
      <w:r w:rsidRPr="00B467DE">
        <w:rPr>
          <w:rFonts w:cs="Arial"/>
          <w:sz w:val="18"/>
          <w:szCs w:val="18"/>
          <w:lang w:eastAsia="en-AU"/>
        </w:rPr>
        <w:tab/>
        <w:t>(State/Territory/Country)</w:t>
      </w:r>
    </w:p>
    <w:p w:rsidR="004D2909" w:rsidRPr="00B467DE" w:rsidRDefault="004D2909" w:rsidP="004D2909">
      <w:pPr>
        <w:tabs>
          <w:tab w:val="center" w:pos="6521"/>
        </w:tabs>
        <w:ind w:left="567" w:hanging="567"/>
        <w:rPr>
          <w:rFonts w:cs="Arial"/>
          <w:sz w:val="18"/>
          <w:szCs w:val="18"/>
          <w:lang w:eastAsia="en-AU"/>
        </w:rPr>
      </w:pPr>
    </w:p>
    <w:p w:rsidR="004D2909" w:rsidRPr="00B467DE" w:rsidRDefault="004D2909" w:rsidP="004D2909">
      <w:pPr>
        <w:tabs>
          <w:tab w:val="left" w:leader="dot" w:pos="3969"/>
          <w:tab w:val="left" w:leader="dot" w:pos="9072"/>
        </w:tabs>
        <w:spacing w:after="0"/>
        <w:ind w:left="567" w:hanging="567"/>
        <w:rPr>
          <w:rFonts w:cs="Arial"/>
          <w:sz w:val="18"/>
          <w:szCs w:val="18"/>
          <w:lang w:eastAsia="en-AU"/>
        </w:rPr>
      </w:pPr>
      <w:r w:rsidRPr="00B467DE">
        <w:rPr>
          <w:rFonts w:cs="Arial"/>
          <w:sz w:val="18"/>
          <w:szCs w:val="18"/>
          <w:lang w:eastAsia="en-AU"/>
        </w:rPr>
        <w:tab/>
        <w:t xml:space="preserve">the </w:t>
      </w:r>
      <w:r w:rsidRPr="00B467DE">
        <w:rPr>
          <w:rFonts w:cs="Arial"/>
          <w:sz w:val="18"/>
          <w:szCs w:val="18"/>
          <w:lang w:eastAsia="en-AU"/>
        </w:rPr>
        <w:tab/>
        <w:t xml:space="preserve"> on the </w:t>
      </w:r>
      <w:r w:rsidR="00373D49">
        <w:rPr>
          <w:rFonts w:cs="Arial"/>
          <w:sz w:val="18"/>
          <w:szCs w:val="18"/>
          <w:lang w:eastAsia="en-AU"/>
        </w:rPr>
        <w:t>………………………………………………………………..</w:t>
      </w:r>
    </w:p>
    <w:p w:rsidR="004D2909" w:rsidRPr="00B467DE" w:rsidRDefault="004D2909" w:rsidP="004D2909">
      <w:pPr>
        <w:tabs>
          <w:tab w:val="center" w:pos="2410"/>
          <w:tab w:val="center" w:pos="6804"/>
        </w:tabs>
        <w:spacing w:before="0"/>
        <w:ind w:left="567" w:hanging="567"/>
        <w:rPr>
          <w:rFonts w:cs="Arial"/>
          <w:sz w:val="18"/>
          <w:szCs w:val="18"/>
          <w:lang w:eastAsia="en-AU"/>
        </w:rPr>
      </w:pPr>
      <w:r w:rsidRPr="00B467DE">
        <w:rPr>
          <w:rFonts w:cs="Arial"/>
          <w:sz w:val="18"/>
          <w:szCs w:val="18"/>
          <w:lang w:eastAsia="en-AU"/>
        </w:rPr>
        <w:tab/>
      </w:r>
      <w:r>
        <w:rPr>
          <w:rFonts w:cs="Arial"/>
          <w:sz w:val="18"/>
          <w:szCs w:val="18"/>
          <w:lang w:eastAsia="en-AU"/>
        </w:rPr>
        <w:tab/>
      </w:r>
      <w:r w:rsidRPr="00B467DE">
        <w:rPr>
          <w:rFonts w:cs="Arial"/>
          <w:sz w:val="18"/>
          <w:szCs w:val="18"/>
          <w:lang w:eastAsia="en-AU"/>
        </w:rPr>
        <w:tab/>
        <w:t>(Act or Code)</w:t>
      </w:r>
      <w:r w:rsidRPr="00B467DE">
        <w:rPr>
          <w:rFonts w:cs="Arial"/>
          <w:sz w:val="18"/>
          <w:szCs w:val="18"/>
          <w:lang w:eastAsia="en-AU"/>
        </w:rPr>
        <w:tab/>
        <w:t>(date)</w:t>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left" w:leader="dot" w:pos="8505"/>
        </w:tabs>
        <w:spacing w:after="0"/>
        <w:ind w:left="567" w:hanging="567"/>
        <w:rPr>
          <w:rFonts w:cs="Arial"/>
          <w:sz w:val="18"/>
          <w:szCs w:val="18"/>
          <w:lang w:eastAsia="en-AU"/>
        </w:rPr>
      </w:pPr>
      <w:r w:rsidRPr="00B467DE">
        <w:rPr>
          <w:rFonts w:cs="Arial"/>
          <w:sz w:val="18"/>
          <w:szCs w:val="18"/>
          <w:lang w:eastAsia="en-AU"/>
        </w:rPr>
        <w:t>2.</w:t>
      </w:r>
      <w:r w:rsidRPr="00B467DE">
        <w:rPr>
          <w:rFonts w:cs="Arial"/>
          <w:sz w:val="18"/>
          <w:szCs w:val="18"/>
          <w:lang w:eastAsia="en-AU"/>
        </w:rPr>
        <w:tab/>
        <w:t xml:space="preserve">The Guarantor was incorporated/registered in </w:t>
      </w:r>
      <w:r w:rsidRPr="00B467DE">
        <w:rPr>
          <w:rFonts w:cs="Arial"/>
          <w:sz w:val="18"/>
          <w:szCs w:val="18"/>
          <w:lang w:eastAsia="en-AU"/>
        </w:rPr>
        <w:tab/>
        <w:t xml:space="preserve"> under</w:t>
      </w:r>
    </w:p>
    <w:p w:rsidR="004D2909" w:rsidRPr="00B467DE" w:rsidRDefault="004D2909" w:rsidP="004D2909">
      <w:pPr>
        <w:tabs>
          <w:tab w:val="center" w:pos="6521"/>
        </w:tabs>
        <w:spacing w:before="0"/>
        <w:ind w:left="567" w:hanging="567"/>
        <w:rPr>
          <w:rFonts w:cs="Arial"/>
          <w:sz w:val="18"/>
          <w:szCs w:val="18"/>
          <w:lang w:eastAsia="en-AU"/>
        </w:rPr>
      </w:pPr>
      <w:r w:rsidRPr="00B467DE">
        <w:rPr>
          <w:rFonts w:cs="Arial"/>
          <w:sz w:val="18"/>
          <w:szCs w:val="18"/>
          <w:lang w:eastAsia="en-AU"/>
        </w:rPr>
        <w:tab/>
      </w:r>
      <w:r>
        <w:rPr>
          <w:rFonts w:cs="Arial"/>
          <w:sz w:val="18"/>
          <w:szCs w:val="18"/>
          <w:lang w:eastAsia="en-AU"/>
        </w:rPr>
        <w:tab/>
      </w:r>
      <w:r w:rsidRPr="00B467DE">
        <w:rPr>
          <w:rFonts w:cs="Arial"/>
          <w:sz w:val="18"/>
          <w:szCs w:val="18"/>
          <w:lang w:eastAsia="en-AU"/>
        </w:rPr>
        <w:tab/>
        <w:t>(State/Territory/Country)</w:t>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left" w:leader="dot" w:pos="3969"/>
          <w:tab w:val="left" w:leader="dot" w:pos="9072"/>
        </w:tabs>
        <w:spacing w:after="0"/>
        <w:ind w:left="567" w:hanging="567"/>
        <w:rPr>
          <w:rFonts w:cs="Arial"/>
          <w:sz w:val="18"/>
          <w:szCs w:val="18"/>
          <w:lang w:eastAsia="en-AU"/>
        </w:rPr>
      </w:pPr>
      <w:r w:rsidRPr="00B467DE">
        <w:rPr>
          <w:rFonts w:cs="Arial"/>
          <w:sz w:val="18"/>
          <w:szCs w:val="18"/>
          <w:lang w:eastAsia="en-AU"/>
        </w:rPr>
        <w:tab/>
        <w:t xml:space="preserve">the </w:t>
      </w:r>
      <w:r w:rsidRPr="00B467DE">
        <w:rPr>
          <w:rFonts w:cs="Arial"/>
          <w:sz w:val="18"/>
          <w:szCs w:val="18"/>
          <w:lang w:eastAsia="en-AU"/>
        </w:rPr>
        <w:tab/>
        <w:t xml:space="preserve"> on the </w:t>
      </w:r>
      <w:r w:rsidR="00373D49">
        <w:rPr>
          <w:rFonts w:cs="Arial"/>
          <w:sz w:val="18"/>
          <w:szCs w:val="18"/>
          <w:lang w:eastAsia="en-AU"/>
        </w:rPr>
        <w:t>……………………………………………………………….</w:t>
      </w:r>
    </w:p>
    <w:p w:rsidR="004D2909" w:rsidRPr="00B467DE" w:rsidRDefault="004D2909" w:rsidP="004D2909">
      <w:pPr>
        <w:tabs>
          <w:tab w:val="center" w:pos="2410"/>
          <w:tab w:val="center" w:pos="6804"/>
        </w:tabs>
        <w:spacing w:before="0"/>
        <w:ind w:left="567" w:hanging="567"/>
        <w:rPr>
          <w:rFonts w:cs="Arial"/>
          <w:sz w:val="18"/>
          <w:szCs w:val="18"/>
          <w:lang w:eastAsia="en-AU"/>
        </w:rPr>
      </w:pPr>
      <w:r w:rsidRPr="00B467DE">
        <w:rPr>
          <w:rFonts w:cs="Arial"/>
          <w:sz w:val="18"/>
          <w:szCs w:val="18"/>
          <w:lang w:eastAsia="en-AU"/>
        </w:rPr>
        <w:tab/>
      </w:r>
      <w:r>
        <w:rPr>
          <w:rFonts w:cs="Arial"/>
          <w:sz w:val="18"/>
          <w:szCs w:val="18"/>
          <w:lang w:eastAsia="en-AU"/>
        </w:rPr>
        <w:tab/>
      </w:r>
      <w:r w:rsidRPr="00B467DE">
        <w:rPr>
          <w:rFonts w:cs="Arial"/>
          <w:sz w:val="18"/>
          <w:szCs w:val="18"/>
          <w:lang w:eastAsia="en-AU"/>
        </w:rPr>
        <w:tab/>
        <w:t>(Act or Code)</w:t>
      </w:r>
      <w:r w:rsidRPr="00B467DE">
        <w:rPr>
          <w:rFonts w:cs="Arial"/>
          <w:sz w:val="18"/>
          <w:szCs w:val="18"/>
          <w:lang w:eastAsia="en-AU"/>
        </w:rPr>
        <w:tab/>
        <w:t>(date)</w:t>
      </w:r>
    </w:p>
    <w:p w:rsidR="004D2909" w:rsidRPr="00B467DE"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3.</w:t>
      </w:r>
      <w:r w:rsidRPr="00B467DE">
        <w:rPr>
          <w:rFonts w:cs="Arial"/>
          <w:sz w:val="18"/>
          <w:szCs w:val="18"/>
          <w:lang w:eastAsia="en-AU"/>
        </w:rPr>
        <w:tab/>
        <w:t xml:space="preserve">Address of the principal office in </w:t>
      </w:r>
      <w:smartTag w:uri="urn:schemas-microsoft-com:office:smarttags" w:element="country-region">
        <w:smartTag w:uri="urn:schemas-microsoft-com:office:smarttags" w:element="place">
          <w:r w:rsidRPr="00B467DE">
            <w:rPr>
              <w:rFonts w:cs="Arial"/>
              <w:sz w:val="18"/>
              <w:szCs w:val="18"/>
              <w:lang w:eastAsia="en-AU"/>
            </w:rPr>
            <w:t>Australia</w:t>
          </w:r>
        </w:smartTag>
      </w:smartTag>
      <w:r w:rsidRPr="00B467DE">
        <w:rPr>
          <w:rFonts w:cs="Arial"/>
          <w:sz w:val="18"/>
          <w:szCs w:val="18"/>
          <w:lang w:eastAsia="en-AU"/>
        </w:rPr>
        <w:t xml:space="preserve"> of the Warrant-Issuer</w:t>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r w:rsidRPr="00B467DE">
        <w:rPr>
          <w:rFonts w:cs="Arial"/>
          <w:sz w:val="18"/>
          <w:szCs w:val="18"/>
          <w:lang w:eastAsia="en-AU"/>
        </w:rPr>
        <w:t>4.</w:t>
      </w:r>
      <w:r w:rsidRPr="00B467DE">
        <w:rPr>
          <w:rFonts w:cs="Arial"/>
          <w:sz w:val="18"/>
          <w:szCs w:val="18"/>
          <w:lang w:eastAsia="en-AU"/>
        </w:rPr>
        <w:tab/>
        <w:t>Address of the principal office of the Guarantor</w:t>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r w:rsidRPr="00B467DE">
        <w:rPr>
          <w:rFonts w:cs="Arial"/>
          <w:sz w:val="18"/>
          <w:szCs w:val="18"/>
          <w:lang w:eastAsia="en-AU"/>
        </w:rPr>
        <w:t>5.</w:t>
      </w:r>
      <w:r w:rsidRPr="00B467DE">
        <w:rPr>
          <w:rFonts w:cs="Arial"/>
          <w:sz w:val="18"/>
          <w:szCs w:val="18"/>
          <w:lang w:eastAsia="en-AU"/>
        </w:rPr>
        <w:tab/>
        <w:t>Address of each office at which a Register of Warrants is kept</w:t>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r w:rsidRPr="00B467DE">
        <w:rPr>
          <w:rFonts w:cs="Arial"/>
          <w:sz w:val="18"/>
          <w:szCs w:val="18"/>
          <w:lang w:eastAsia="en-AU"/>
        </w:rPr>
        <w:t>6.</w:t>
      </w:r>
      <w:r w:rsidRPr="00B467DE">
        <w:rPr>
          <w:rFonts w:cs="Arial"/>
          <w:sz w:val="18"/>
          <w:szCs w:val="18"/>
          <w:lang w:eastAsia="en-AU"/>
        </w:rPr>
        <w:tab/>
        <w:t>Will the Register of warrants be held in uncertificated mode?</w:t>
      </w:r>
    </w:p>
    <w:p w:rsidR="004D2909" w:rsidRPr="00B467DE"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ab/>
      </w:r>
      <w:r w:rsidRPr="00B467DE">
        <w:rPr>
          <w:rFonts w:cs="Arial"/>
          <w:sz w:val="18"/>
          <w:szCs w:val="18"/>
          <w:lang w:eastAsia="en-AU"/>
        </w:rPr>
        <w:tab/>
      </w:r>
      <w:r w:rsidRPr="00B467DE">
        <w:rPr>
          <w:rFonts w:cs="Arial"/>
          <w:b/>
          <w:sz w:val="18"/>
          <w:szCs w:val="18"/>
          <w:lang w:eastAsia="en-AU"/>
        </w:rPr>
        <w:t>YES / NO</w:t>
      </w:r>
      <w:r w:rsidRPr="00B467DE">
        <w:rPr>
          <w:rFonts w:cs="Arial"/>
          <w:sz w:val="18"/>
          <w:szCs w:val="18"/>
          <w:lang w:eastAsia="en-AU"/>
        </w:rPr>
        <w:t xml:space="preserve">  (please strike-out which ever does not apply)</w:t>
      </w:r>
    </w:p>
    <w:p w:rsidR="004D2909" w:rsidRPr="00B467DE"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7.</w:t>
      </w:r>
      <w:r w:rsidRPr="00B467DE">
        <w:rPr>
          <w:rFonts w:cs="Arial"/>
          <w:sz w:val="18"/>
          <w:szCs w:val="18"/>
          <w:lang w:eastAsia="en-AU"/>
        </w:rPr>
        <w:tab/>
        <w:t>In relation to each Warrant Series, will the Warrant-Issuer satisfy its obligations under the Rule 10.3.11 by complying with either:    (Please tick the applicable box)</w:t>
      </w:r>
    </w:p>
    <w:p w:rsidR="004D2909" w:rsidRPr="00B467DE" w:rsidRDefault="004D2909" w:rsidP="004D2909">
      <w:pPr>
        <w:ind w:left="567" w:hanging="567"/>
        <w:rPr>
          <w:lang w:eastAsia="en-AU"/>
        </w:rPr>
      </w:pPr>
    </w:p>
    <w:tbl>
      <w:tblPr>
        <w:tblW w:w="0" w:type="auto"/>
        <w:tblInd w:w="534" w:type="dxa"/>
        <w:tblLook w:val="01E0" w:firstRow="1" w:lastRow="1" w:firstColumn="1" w:lastColumn="1" w:noHBand="0" w:noVBand="0"/>
      </w:tblPr>
      <w:tblGrid>
        <w:gridCol w:w="675"/>
        <w:gridCol w:w="7862"/>
      </w:tblGrid>
      <w:tr w:rsidR="004D2909" w:rsidRPr="00335C25" w:rsidTr="006A4D7A">
        <w:tc>
          <w:tcPr>
            <w:tcW w:w="708" w:type="dxa"/>
            <w:shd w:val="clear" w:color="auto" w:fill="auto"/>
          </w:tcPr>
          <w:p w:rsidR="004D2909" w:rsidRPr="00335C25" w:rsidRDefault="004D2909" w:rsidP="006A4D7A">
            <w:pPr>
              <w:autoSpaceDE w:val="0"/>
              <w:autoSpaceDN w:val="0"/>
              <w:adjustRightInd w:val="0"/>
              <w:jc w:val="center"/>
              <w:rPr>
                <w:rFonts w:cs="Arial"/>
                <w:sz w:val="18"/>
                <w:szCs w:val="18"/>
                <w:lang w:eastAsia="en-AU"/>
              </w:rPr>
            </w:pPr>
            <w:r w:rsidRPr="00335C25">
              <w:rPr>
                <w:rFonts w:cs="Arial"/>
                <w:sz w:val="18"/>
                <w:szCs w:val="18"/>
                <w:lang w:eastAsia="en-AU"/>
              </w:rPr>
              <w:sym w:font="Wingdings" w:char="F0A8"/>
            </w:r>
          </w:p>
        </w:tc>
        <w:tc>
          <w:tcPr>
            <w:tcW w:w="8613" w:type="dxa"/>
            <w:shd w:val="clear" w:color="auto" w:fill="auto"/>
          </w:tcPr>
          <w:p w:rsidR="004D2909" w:rsidRPr="00335C25" w:rsidRDefault="004D2909" w:rsidP="006A4D7A">
            <w:pPr>
              <w:autoSpaceDE w:val="0"/>
              <w:autoSpaceDN w:val="0"/>
              <w:adjustRightInd w:val="0"/>
              <w:rPr>
                <w:rFonts w:cs="Arial"/>
                <w:sz w:val="18"/>
                <w:szCs w:val="18"/>
                <w:lang w:eastAsia="en-AU"/>
              </w:rPr>
            </w:pPr>
            <w:r w:rsidRPr="00335C25">
              <w:rPr>
                <w:rFonts w:cs="Arial"/>
                <w:sz w:val="18"/>
                <w:szCs w:val="18"/>
                <w:lang w:eastAsia="en-AU"/>
              </w:rPr>
              <w:t>Rule 10.3.11(a) – By ensuring that the initial issue of Warrants has a sufficient spread of Warrant-Holders which, in the opinion of ASX, is adequate and reasonable (trading will not commence until the Warrant-Issuer has satisfied ASX that there is a sufficient spread of Warrant-Holders).</w:t>
            </w:r>
          </w:p>
          <w:p w:rsidR="004D2909" w:rsidRPr="00335C25" w:rsidRDefault="004D2909" w:rsidP="006A4D7A">
            <w:pPr>
              <w:autoSpaceDE w:val="0"/>
              <w:autoSpaceDN w:val="0"/>
              <w:adjustRightInd w:val="0"/>
              <w:rPr>
                <w:rFonts w:cs="Arial"/>
                <w:sz w:val="18"/>
                <w:szCs w:val="18"/>
                <w:lang w:eastAsia="en-AU"/>
              </w:rPr>
            </w:pPr>
          </w:p>
        </w:tc>
      </w:tr>
      <w:tr w:rsidR="004D2909" w:rsidRPr="00335C25" w:rsidTr="006A4D7A">
        <w:tc>
          <w:tcPr>
            <w:tcW w:w="708" w:type="dxa"/>
            <w:shd w:val="clear" w:color="auto" w:fill="auto"/>
          </w:tcPr>
          <w:p w:rsidR="004D2909" w:rsidRPr="00335C25" w:rsidRDefault="004D2909" w:rsidP="006A4D7A">
            <w:pPr>
              <w:autoSpaceDE w:val="0"/>
              <w:autoSpaceDN w:val="0"/>
              <w:adjustRightInd w:val="0"/>
              <w:jc w:val="center"/>
              <w:rPr>
                <w:rFonts w:cs="Arial"/>
                <w:sz w:val="18"/>
                <w:szCs w:val="18"/>
                <w:lang w:eastAsia="en-AU"/>
              </w:rPr>
            </w:pPr>
            <w:r w:rsidRPr="00335C25">
              <w:rPr>
                <w:rFonts w:cs="Arial"/>
                <w:sz w:val="18"/>
                <w:szCs w:val="18"/>
                <w:lang w:eastAsia="en-AU"/>
              </w:rPr>
              <w:sym w:font="Wingdings" w:char="F0A8"/>
            </w:r>
          </w:p>
        </w:tc>
        <w:tc>
          <w:tcPr>
            <w:tcW w:w="8613" w:type="dxa"/>
            <w:shd w:val="clear" w:color="auto" w:fill="auto"/>
          </w:tcPr>
          <w:p w:rsidR="004D2909" w:rsidRPr="00335C25" w:rsidRDefault="004D2909" w:rsidP="006A4D7A">
            <w:pPr>
              <w:autoSpaceDE w:val="0"/>
              <w:autoSpaceDN w:val="0"/>
              <w:adjustRightInd w:val="0"/>
              <w:rPr>
                <w:rFonts w:cs="Arial"/>
                <w:sz w:val="18"/>
                <w:szCs w:val="18"/>
                <w:lang w:eastAsia="en-AU"/>
              </w:rPr>
            </w:pPr>
            <w:r w:rsidRPr="00335C25">
              <w:rPr>
                <w:rFonts w:cs="Arial"/>
                <w:sz w:val="18"/>
                <w:szCs w:val="18"/>
                <w:lang w:eastAsia="en-AU"/>
              </w:rPr>
              <w:t>Rule 10.3.11(b) – By, on an ongoing basis, ensuring that a reasonable Bid and volume is maintained.  In this respect the following Trading Participant has been appointed to act as a Warrant Market Marker in accordance with ASX Operating Rules.</w:t>
            </w:r>
          </w:p>
          <w:p w:rsidR="004D2909" w:rsidRPr="00335C25" w:rsidRDefault="004D2909" w:rsidP="006A4D7A">
            <w:pPr>
              <w:autoSpaceDE w:val="0"/>
              <w:autoSpaceDN w:val="0"/>
              <w:adjustRightInd w:val="0"/>
              <w:rPr>
                <w:rFonts w:cs="Arial"/>
                <w:sz w:val="18"/>
                <w:szCs w:val="18"/>
                <w:lang w:eastAsia="en-AU"/>
              </w:rPr>
            </w:pPr>
          </w:p>
        </w:tc>
      </w:tr>
    </w:tbl>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spacing w:after="0"/>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spacing w:before="0"/>
        <w:ind w:left="567" w:hanging="567"/>
        <w:rPr>
          <w:sz w:val="16"/>
          <w:szCs w:val="16"/>
          <w:lang w:eastAsia="en-AU"/>
        </w:rPr>
      </w:pPr>
      <w:r w:rsidRPr="00B467DE">
        <w:rPr>
          <w:lang w:eastAsia="en-AU"/>
        </w:rPr>
        <w:tab/>
      </w:r>
      <w:r w:rsidRPr="00B467DE">
        <w:rPr>
          <w:sz w:val="16"/>
          <w:szCs w:val="16"/>
          <w:lang w:eastAsia="en-AU"/>
        </w:rPr>
        <w:t xml:space="preserve">(Name of Warrant Market Maker </w:t>
      </w:r>
      <w:r>
        <w:rPr>
          <w:sz w:val="16"/>
          <w:szCs w:val="16"/>
          <w:lang w:eastAsia="en-AU"/>
        </w:rPr>
        <w:t>–</w:t>
      </w:r>
      <w:r w:rsidRPr="00B467DE">
        <w:rPr>
          <w:sz w:val="16"/>
          <w:szCs w:val="16"/>
          <w:lang w:eastAsia="en-AU"/>
        </w:rPr>
        <w:t xml:space="preserve"> if applicable)</w:t>
      </w:r>
    </w:p>
    <w:p w:rsidR="004D2909" w:rsidRPr="00293128" w:rsidRDefault="004D2909" w:rsidP="004D2909">
      <w:pPr>
        <w:ind w:left="567" w:hanging="567"/>
        <w:rPr>
          <w:rFonts w:cs="Arial"/>
          <w:sz w:val="18"/>
          <w:szCs w:val="18"/>
          <w:lang w:eastAsia="en-AU"/>
        </w:rPr>
      </w:pPr>
      <w:r w:rsidRPr="00B467DE">
        <w:rPr>
          <w:rFonts w:cs="Arial"/>
          <w:lang w:eastAsia="en-AU"/>
        </w:rPr>
        <w:tab/>
      </w:r>
      <w:r w:rsidRPr="00293128">
        <w:rPr>
          <w:rFonts w:cs="Arial"/>
          <w:sz w:val="18"/>
          <w:szCs w:val="18"/>
          <w:lang w:eastAsia="en-AU"/>
        </w:rPr>
        <w:t>In the event that several Warrant Market Makers are being appointed in relation to this application, a list is to be attached to this application identifying each Trading Participant that is appointed to act as a Warrant Market Maker in relation to each Warrant Series.</w:t>
      </w:r>
    </w:p>
    <w:p w:rsidR="004D2909" w:rsidRPr="00293128"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8.</w:t>
      </w:r>
      <w:r w:rsidRPr="00B467DE">
        <w:rPr>
          <w:rFonts w:cs="Arial"/>
          <w:sz w:val="18"/>
          <w:szCs w:val="18"/>
          <w:lang w:eastAsia="en-AU"/>
        </w:rPr>
        <w:tab/>
        <w:t>In accordance with Rule 10.3.1(b), and having regard to the features of each Warrant Series the subject of this application, provide details below regarding any additional actions taken by the Warrant-Issuer to satisfy the requirements of Rule 10.2.1(1) and (2).</w:t>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r w:rsidRPr="00B467DE">
        <w:rPr>
          <w:rFonts w:cs="Arial"/>
          <w:sz w:val="18"/>
          <w:szCs w:val="18"/>
          <w:lang w:eastAsia="en-AU"/>
        </w:rPr>
        <w:tab/>
        <w:t>The Warrant Issuer confirms that it has, and that if the Warrants are admitted to Trading Status it will continue to have, facilities, procedures, personnel and financial resources which are adequate:</w:t>
      </w:r>
    </w:p>
    <w:p w:rsidR="004D2909" w:rsidRPr="00293128" w:rsidRDefault="004D2909" w:rsidP="004D2909">
      <w:pPr>
        <w:pStyle w:val="List2"/>
        <w:rPr>
          <w:sz w:val="18"/>
          <w:szCs w:val="18"/>
          <w:lang w:eastAsia="en-AU"/>
        </w:rPr>
      </w:pPr>
      <w:r w:rsidRPr="00293128">
        <w:rPr>
          <w:sz w:val="18"/>
          <w:szCs w:val="18"/>
          <w:lang w:eastAsia="en-AU"/>
        </w:rPr>
        <w:t>(a)</w:t>
      </w:r>
      <w:r w:rsidRPr="00293128">
        <w:rPr>
          <w:sz w:val="18"/>
          <w:szCs w:val="18"/>
          <w:lang w:eastAsia="en-AU"/>
        </w:rPr>
        <w:tab/>
        <w:t>for the performance by the Warrant Issuer of its obligations as a Warrant Issuer; and</w:t>
      </w:r>
    </w:p>
    <w:p w:rsidR="004D2909" w:rsidRPr="00293128" w:rsidRDefault="004D2909" w:rsidP="004D2909">
      <w:pPr>
        <w:pStyle w:val="List2"/>
        <w:rPr>
          <w:sz w:val="18"/>
          <w:szCs w:val="18"/>
          <w:lang w:eastAsia="en-AU"/>
        </w:rPr>
      </w:pPr>
      <w:r w:rsidRPr="00293128">
        <w:rPr>
          <w:sz w:val="18"/>
          <w:szCs w:val="18"/>
          <w:lang w:eastAsia="en-AU"/>
        </w:rPr>
        <w:t>(b)</w:t>
      </w:r>
      <w:r w:rsidRPr="00293128">
        <w:rPr>
          <w:sz w:val="18"/>
          <w:szCs w:val="18"/>
          <w:lang w:eastAsia="en-AU"/>
        </w:rPr>
        <w:tab/>
        <w:t>to satisfy ASX that such facilities, procedures, personnel and financial resources are adequate for the performance by the Warrant Issuer issuer of its obligations as a Warrant Issuer.</w:t>
      </w:r>
    </w:p>
    <w:p w:rsidR="004D2909" w:rsidRPr="00B467DE" w:rsidRDefault="004D2909" w:rsidP="004D2909">
      <w:pPr>
        <w:ind w:left="567" w:hanging="567"/>
        <w:rPr>
          <w:rFonts w:cs="Arial"/>
          <w:sz w:val="18"/>
          <w:szCs w:val="18"/>
          <w:lang w:eastAsia="en-AU"/>
        </w:rPr>
      </w:pPr>
      <w:r w:rsidRPr="00B467DE">
        <w:rPr>
          <w:rFonts w:cs="Arial"/>
          <w:sz w:val="18"/>
          <w:szCs w:val="18"/>
          <w:lang w:eastAsia="en-AU"/>
        </w:rPr>
        <w:t>9.</w:t>
      </w:r>
      <w:r w:rsidRPr="00B467DE">
        <w:rPr>
          <w:rFonts w:cs="Arial"/>
          <w:sz w:val="18"/>
          <w:szCs w:val="18"/>
          <w:lang w:eastAsia="en-AU"/>
        </w:rPr>
        <w:tab/>
        <w:t>Deleted</w:t>
      </w:r>
    </w:p>
    <w:p w:rsidR="004D2909" w:rsidRPr="00B467DE" w:rsidRDefault="004D2909" w:rsidP="004D2909">
      <w:pPr>
        <w:ind w:left="567" w:hanging="567"/>
        <w:rPr>
          <w:rFonts w:cs="Arial"/>
          <w:sz w:val="18"/>
          <w:szCs w:val="18"/>
          <w:lang w:eastAsia="en-AU"/>
        </w:rPr>
      </w:pPr>
      <w:r w:rsidRPr="00B467DE">
        <w:rPr>
          <w:rFonts w:cs="Arial"/>
          <w:sz w:val="18"/>
          <w:szCs w:val="18"/>
          <w:lang w:eastAsia="en-AU"/>
        </w:rPr>
        <w:t>10.</w:t>
      </w:r>
      <w:r w:rsidRPr="00B467DE">
        <w:rPr>
          <w:rFonts w:cs="Arial"/>
          <w:sz w:val="18"/>
          <w:szCs w:val="18"/>
          <w:lang w:eastAsia="en-AU"/>
        </w:rPr>
        <w:tab/>
        <w:t>Deleted</w:t>
      </w:r>
    </w:p>
    <w:p w:rsidR="004D2909" w:rsidRPr="00293128" w:rsidRDefault="004D2909" w:rsidP="004D2909">
      <w:pPr>
        <w:ind w:left="567" w:hanging="567"/>
        <w:rPr>
          <w:sz w:val="18"/>
          <w:szCs w:val="18"/>
          <w:lang w:eastAsia="en-AU"/>
        </w:rPr>
      </w:pPr>
      <w:r w:rsidRPr="00293128">
        <w:rPr>
          <w:sz w:val="18"/>
          <w:szCs w:val="18"/>
          <w:lang w:eastAsia="en-AU"/>
        </w:rPr>
        <w:t>11.</w:t>
      </w:r>
      <w:r w:rsidRPr="00293128">
        <w:rPr>
          <w:sz w:val="18"/>
          <w:szCs w:val="18"/>
          <w:lang w:eastAsia="en-AU"/>
        </w:rPr>
        <w:tab/>
        <w:t>Deleted</w:t>
      </w:r>
    </w:p>
    <w:p w:rsidR="004D2909"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12.</w:t>
      </w:r>
      <w:r w:rsidRPr="00B467DE">
        <w:rPr>
          <w:rFonts w:cs="Arial"/>
          <w:sz w:val="18"/>
          <w:szCs w:val="18"/>
          <w:lang w:eastAsia="en-AU"/>
        </w:rPr>
        <w:tab/>
        <w:t>PARTICIPATION RIGHTS:</w:t>
      </w:r>
    </w:p>
    <w:p w:rsidR="004D2909" w:rsidRPr="00B467DE" w:rsidRDefault="004D2909" w:rsidP="004D2909">
      <w:pPr>
        <w:ind w:left="567" w:hanging="567"/>
        <w:rPr>
          <w:rFonts w:cs="Arial"/>
          <w:sz w:val="18"/>
          <w:szCs w:val="18"/>
          <w:lang w:eastAsia="en-AU"/>
        </w:rPr>
      </w:pPr>
      <w:r w:rsidRPr="00B467DE">
        <w:rPr>
          <w:rFonts w:cs="Arial"/>
          <w:sz w:val="18"/>
          <w:szCs w:val="18"/>
          <w:lang w:eastAsia="en-AU"/>
        </w:rPr>
        <w:tab/>
        <w:t>Have any rights been granted to any person or to any class of persons to participate in any issue of the Warrant subject to this application?</w:t>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left" w:leader="dot" w:pos="9072"/>
        </w:tabs>
        <w:ind w:left="567" w:hanging="567"/>
        <w:rPr>
          <w:rFonts w:cs="Arial"/>
          <w:sz w:val="18"/>
          <w:szCs w:val="18"/>
          <w:lang w:eastAsia="en-AU"/>
        </w:rPr>
      </w:pPr>
      <w:r w:rsidRPr="00B467DE">
        <w:rPr>
          <w:rFonts w:cs="Arial"/>
          <w:sz w:val="18"/>
          <w:szCs w:val="18"/>
          <w:lang w:eastAsia="en-AU"/>
        </w:rPr>
        <w:tab/>
        <w:t xml:space="preserve">(If so, give particulars) </w:t>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Default="004D2909" w:rsidP="004D2909">
      <w:pPr>
        <w:tabs>
          <w:tab w:val="left" w:leader="dot" w:pos="9072"/>
        </w:tabs>
        <w:ind w:left="567" w:hanging="567"/>
        <w:rPr>
          <w:rFonts w:cs="Arial"/>
          <w:sz w:val="18"/>
          <w:szCs w:val="18"/>
          <w:lang w:eastAsia="en-AU"/>
        </w:rPr>
      </w:pPr>
      <w:r w:rsidRPr="00B467DE">
        <w:rPr>
          <w:rFonts w:cs="Arial"/>
          <w:sz w:val="18"/>
          <w:szCs w:val="18"/>
          <w:lang w:eastAsia="en-AU"/>
        </w:rPr>
        <w:t>13.</w:t>
      </w:r>
      <w:r w:rsidRPr="00B467DE">
        <w:rPr>
          <w:rFonts w:cs="Arial"/>
          <w:sz w:val="18"/>
          <w:szCs w:val="18"/>
          <w:lang w:eastAsia="en-AU"/>
        </w:rPr>
        <w:tab/>
        <w:t>Annual Balance Date of Warrant-Issuer</w:t>
      </w:r>
      <w:r w:rsidR="00373D49">
        <w:rPr>
          <w:rFonts w:cs="Arial"/>
          <w:sz w:val="18"/>
          <w:szCs w:val="18"/>
          <w:lang w:eastAsia="en-AU"/>
        </w:rPr>
        <w:t xml:space="preserve"> ………………………</w:t>
      </w:r>
      <w:r w:rsidRPr="00B467DE">
        <w:rPr>
          <w:rFonts w:cs="Arial"/>
          <w:sz w:val="18"/>
          <w:szCs w:val="18"/>
          <w:lang w:eastAsia="en-AU"/>
        </w:rPr>
        <w:tab/>
      </w:r>
    </w:p>
    <w:p w:rsidR="00373D49" w:rsidRPr="00B467DE" w:rsidRDefault="00373D49" w:rsidP="004D2909">
      <w:pPr>
        <w:tabs>
          <w:tab w:val="left" w:leader="dot" w:pos="9072"/>
        </w:tabs>
        <w:ind w:left="567" w:hanging="567"/>
        <w:rPr>
          <w:rFonts w:cs="Arial"/>
          <w:sz w:val="18"/>
          <w:szCs w:val="18"/>
          <w:lang w:eastAsia="en-AU"/>
        </w:rPr>
      </w:pPr>
    </w:p>
    <w:p w:rsidR="004D2909" w:rsidRPr="00B467DE" w:rsidRDefault="004D2909" w:rsidP="004D2909">
      <w:pPr>
        <w:tabs>
          <w:tab w:val="left" w:leader="dot" w:pos="9072"/>
        </w:tabs>
        <w:ind w:left="567" w:hanging="567"/>
        <w:rPr>
          <w:rFonts w:cs="Arial"/>
          <w:sz w:val="18"/>
          <w:szCs w:val="18"/>
          <w:lang w:eastAsia="en-AU"/>
        </w:rPr>
      </w:pPr>
      <w:r w:rsidRPr="00B467DE">
        <w:rPr>
          <w:rFonts w:cs="Arial"/>
          <w:sz w:val="18"/>
          <w:szCs w:val="18"/>
          <w:lang w:eastAsia="en-AU"/>
        </w:rPr>
        <w:t>14.</w:t>
      </w:r>
      <w:r w:rsidRPr="00B467DE">
        <w:rPr>
          <w:rFonts w:cs="Arial"/>
          <w:sz w:val="18"/>
          <w:szCs w:val="18"/>
          <w:lang w:eastAsia="en-AU"/>
        </w:rPr>
        <w:tab/>
        <w:t xml:space="preserve">Annual Balance Date of Guarantor </w:t>
      </w:r>
      <w:r w:rsidR="00373D49">
        <w:rPr>
          <w:rFonts w:cs="Arial"/>
          <w:sz w:val="18"/>
          <w:szCs w:val="18"/>
          <w:lang w:eastAsia="en-AU"/>
        </w:rPr>
        <w:t>……………………..</w:t>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15.</w:t>
      </w:r>
      <w:r w:rsidRPr="00B467DE">
        <w:rPr>
          <w:rFonts w:cs="Arial"/>
          <w:sz w:val="18"/>
          <w:szCs w:val="18"/>
          <w:lang w:eastAsia="en-AU"/>
        </w:rPr>
        <w:tab/>
        <w:t>Deleted</w:t>
      </w:r>
    </w:p>
    <w:p w:rsidR="004D2909" w:rsidRPr="00B467DE" w:rsidRDefault="004D2909" w:rsidP="004D2909">
      <w:pPr>
        <w:ind w:left="567" w:hanging="567"/>
        <w:rPr>
          <w:rFonts w:cs="Arial"/>
          <w:sz w:val="18"/>
          <w:szCs w:val="18"/>
          <w:lang w:eastAsia="en-AU"/>
        </w:rPr>
      </w:pPr>
      <w:r w:rsidRPr="00B467DE">
        <w:rPr>
          <w:rFonts w:cs="Arial"/>
          <w:sz w:val="18"/>
          <w:szCs w:val="18"/>
          <w:lang w:eastAsia="en-AU"/>
        </w:rPr>
        <w:t>16.</w:t>
      </w:r>
      <w:r w:rsidRPr="00B467DE">
        <w:rPr>
          <w:rFonts w:cs="Arial"/>
          <w:sz w:val="18"/>
          <w:szCs w:val="18"/>
          <w:lang w:eastAsia="en-AU"/>
        </w:rPr>
        <w:tab/>
        <w:t>Deleted</w:t>
      </w:r>
    </w:p>
    <w:p w:rsidR="004D2909" w:rsidRPr="00B467DE" w:rsidRDefault="004D2909" w:rsidP="004D2909">
      <w:pPr>
        <w:ind w:left="567" w:hanging="567"/>
        <w:rPr>
          <w:rFonts w:cs="Arial"/>
          <w:sz w:val="18"/>
          <w:szCs w:val="18"/>
          <w:lang w:eastAsia="en-AU"/>
        </w:rPr>
      </w:pPr>
      <w:r w:rsidRPr="00B467DE">
        <w:rPr>
          <w:rFonts w:cs="Arial"/>
          <w:sz w:val="18"/>
          <w:szCs w:val="18"/>
          <w:lang w:eastAsia="en-AU"/>
        </w:rPr>
        <w:t>17.</w:t>
      </w:r>
      <w:r w:rsidRPr="00B467DE">
        <w:rPr>
          <w:rFonts w:cs="Arial"/>
          <w:sz w:val="18"/>
          <w:szCs w:val="18"/>
          <w:lang w:eastAsia="en-AU"/>
        </w:rPr>
        <w:tab/>
        <w:t>Deleted</w:t>
      </w:r>
    </w:p>
    <w:p w:rsidR="004D2909" w:rsidRPr="00B467DE" w:rsidRDefault="004D2909" w:rsidP="004D2909">
      <w:pPr>
        <w:ind w:left="567" w:hanging="567"/>
        <w:rPr>
          <w:rFonts w:cs="Arial"/>
          <w:sz w:val="18"/>
          <w:szCs w:val="18"/>
          <w:lang w:eastAsia="en-AU"/>
        </w:rPr>
      </w:pPr>
    </w:p>
    <w:p w:rsidR="004D2909" w:rsidRPr="00B467DE" w:rsidRDefault="004D2909" w:rsidP="004D2909">
      <w:pPr>
        <w:keepNext/>
        <w:ind w:left="567" w:hanging="567"/>
        <w:rPr>
          <w:rFonts w:cs="Arial"/>
          <w:sz w:val="18"/>
          <w:szCs w:val="18"/>
          <w:lang w:eastAsia="en-AU"/>
        </w:rPr>
      </w:pPr>
      <w:r w:rsidRPr="00B467DE">
        <w:rPr>
          <w:rFonts w:cs="Arial"/>
          <w:sz w:val="18"/>
          <w:szCs w:val="18"/>
          <w:lang w:eastAsia="en-AU"/>
        </w:rPr>
        <w:t>18.</w:t>
      </w:r>
      <w:r w:rsidRPr="00B467DE">
        <w:rPr>
          <w:rFonts w:cs="Arial"/>
          <w:sz w:val="18"/>
          <w:szCs w:val="18"/>
          <w:lang w:eastAsia="en-AU"/>
        </w:rPr>
        <w:tab/>
        <w:t>OFFICERS OF WARRANT-ISSUER:</w:t>
      </w:r>
    </w:p>
    <w:p w:rsidR="004D2909" w:rsidRPr="00B467DE" w:rsidRDefault="004D2909" w:rsidP="004D2909">
      <w:pPr>
        <w:ind w:left="567" w:hanging="567"/>
        <w:rPr>
          <w:rFonts w:cs="Arial"/>
          <w:sz w:val="18"/>
          <w:szCs w:val="18"/>
          <w:lang w:eastAsia="en-AU"/>
        </w:rPr>
      </w:pPr>
      <w:r w:rsidRPr="00B467DE">
        <w:rPr>
          <w:rFonts w:cs="Arial"/>
          <w:sz w:val="18"/>
          <w:szCs w:val="18"/>
          <w:lang w:eastAsia="en-AU"/>
        </w:rPr>
        <w:tab/>
        <w:t>(List relevant officers of the Issuer whom ASX should contact in relation to queries regarding these warrants – including legal and commercial matters.)</w:t>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r w:rsidRPr="00B467DE">
        <w:rPr>
          <w:rFonts w:cs="Arial"/>
          <w:sz w:val="18"/>
          <w:szCs w:val="18"/>
          <w:lang w:eastAsia="en-AU"/>
        </w:rPr>
        <w:t>19.</w:t>
      </w:r>
      <w:r w:rsidRPr="00B467DE">
        <w:rPr>
          <w:rFonts w:cs="Arial"/>
          <w:sz w:val="18"/>
          <w:szCs w:val="18"/>
          <w:lang w:eastAsia="en-AU"/>
        </w:rPr>
        <w:tab/>
        <w:t>OFFICERS OF GUARANTOR:</w:t>
      </w:r>
    </w:p>
    <w:p w:rsidR="004D2909" w:rsidRPr="00B467DE" w:rsidRDefault="004D2909" w:rsidP="004D2909">
      <w:pPr>
        <w:ind w:left="567" w:hanging="567"/>
        <w:rPr>
          <w:rFonts w:cs="Arial"/>
          <w:sz w:val="18"/>
          <w:szCs w:val="18"/>
          <w:lang w:eastAsia="en-AU"/>
        </w:rPr>
      </w:pPr>
      <w:r w:rsidRPr="00B467DE">
        <w:rPr>
          <w:rFonts w:cs="Arial"/>
          <w:sz w:val="18"/>
          <w:szCs w:val="18"/>
          <w:lang w:eastAsia="en-AU"/>
        </w:rPr>
        <w:tab/>
        <w:t>(List relevant officers of the Guarantor whom ASX should contact in relation to queries regarding these warrants – including legal and commercial matters.)</w:t>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tabs>
          <w:tab w:val="clear" w:pos="851"/>
          <w:tab w:val="left" w:leader="dot" w:pos="9072"/>
        </w:tabs>
        <w:ind w:left="567" w:hanging="567"/>
        <w:rPr>
          <w:rFonts w:cs="Arial"/>
          <w:sz w:val="18"/>
          <w:szCs w:val="18"/>
          <w:lang w:eastAsia="en-AU"/>
        </w:rPr>
      </w:pPr>
      <w:r>
        <w:rPr>
          <w:rFonts w:cs="Arial"/>
          <w:sz w:val="18"/>
          <w:szCs w:val="18"/>
          <w:lang w:eastAsia="en-AU"/>
        </w:rPr>
        <w:tab/>
      </w:r>
      <w:r w:rsidRPr="00B467DE">
        <w:rPr>
          <w:rFonts w:cs="Arial"/>
          <w:sz w:val="18"/>
          <w:szCs w:val="18"/>
          <w:lang w:eastAsia="en-AU"/>
        </w:rPr>
        <w:tab/>
      </w:r>
    </w:p>
    <w:p w:rsidR="004D2909" w:rsidRPr="00B467DE"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20.</w:t>
      </w:r>
      <w:r w:rsidRPr="00B467DE">
        <w:rPr>
          <w:rFonts w:cs="Arial"/>
          <w:sz w:val="18"/>
          <w:szCs w:val="18"/>
          <w:lang w:eastAsia="en-AU"/>
        </w:rPr>
        <w:tab/>
        <w:t>ACCOMPANYING DOCUMENTS:</w:t>
      </w:r>
    </w:p>
    <w:p w:rsidR="004D2909" w:rsidRPr="00293128" w:rsidRDefault="004D2909" w:rsidP="004D2909">
      <w:pPr>
        <w:pStyle w:val="List2"/>
        <w:rPr>
          <w:sz w:val="18"/>
          <w:szCs w:val="18"/>
          <w:lang w:eastAsia="en-AU"/>
        </w:rPr>
      </w:pPr>
      <w:r w:rsidRPr="00293128">
        <w:rPr>
          <w:sz w:val="18"/>
          <w:szCs w:val="18"/>
          <w:lang w:eastAsia="en-AU"/>
        </w:rPr>
        <w:t>(i)</w:t>
      </w:r>
      <w:r w:rsidRPr="00293128">
        <w:rPr>
          <w:sz w:val="18"/>
          <w:szCs w:val="18"/>
          <w:lang w:eastAsia="en-AU"/>
        </w:rPr>
        <w:tab/>
        <w:t>Draft of proposed Offering Circular, Product Disclosure Statement or prospectus (“Warrant disclosure document”).</w:t>
      </w:r>
    </w:p>
    <w:p w:rsidR="004D2909" w:rsidRPr="00293128" w:rsidRDefault="004D2909" w:rsidP="004D2909">
      <w:pPr>
        <w:pStyle w:val="List2"/>
        <w:rPr>
          <w:sz w:val="18"/>
          <w:szCs w:val="18"/>
          <w:lang w:eastAsia="en-AU"/>
        </w:rPr>
      </w:pPr>
      <w:r w:rsidRPr="00293128">
        <w:rPr>
          <w:sz w:val="18"/>
          <w:szCs w:val="18"/>
          <w:lang w:eastAsia="en-AU"/>
        </w:rPr>
        <w:t>(ii)</w:t>
      </w:r>
      <w:r w:rsidRPr="00293128">
        <w:rPr>
          <w:sz w:val="18"/>
          <w:szCs w:val="18"/>
          <w:lang w:eastAsia="en-AU"/>
        </w:rPr>
        <w:tab/>
        <w:t>Copies of all contracts referred to in the Warrant disclosure document including underwriting agreement (if any).</w:t>
      </w:r>
    </w:p>
    <w:p w:rsidR="004D2909" w:rsidRPr="00293128" w:rsidRDefault="004D2909" w:rsidP="004D2909">
      <w:pPr>
        <w:pStyle w:val="List2"/>
        <w:rPr>
          <w:sz w:val="18"/>
          <w:szCs w:val="18"/>
          <w:lang w:eastAsia="en-AU"/>
        </w:rPr>
      </w:pPr>
      <w:r w:rsidRPr="00293128">
        <w:rPr>
          <w:sz w:val="18"/>
          <w:szCs w:val="18"/>
          <w:lang w:eastAsia="en-AU"/>
        </w:rPr>
        <w:t>(iii)</w:t>
      </w:r>
      <w:r w:rsidRPr="00293128">
        <w:rPr>
          <w:sz w:val="18"/>
          <w:szCs w:val="18"/>
          <w:lang w:eastAsia="en-AU"/>
        </w:rPr>
        <w:tab/>
        <w:t>Current Constitution of Warrant-Issuer (and Guarantor) unless previously provided.</w:t>
      </w:r>
    </w:p>
    <w:p w:rsidR="004D2909" w:rsidRPr="00293128" w:rsidRDefault="004D2909" w:rsidP="004D2909">
      <w:pPr>
        <w:pStyle w:val="List2"/>
        <w:rPr>
          <w:sz w:val="18"/>
          <w:szCs w:val="18"/>
          <w:lang w:eastAsia="en-AU"/>
        </w:rPr>
      </w:pPr>
      <w:r w:rsidRPr="00293128">
        <w:rPr>
          <w:sz w:val="18"/>
          <w:szCs w:val="18"/>
          <w:lang w:eastAsia="en-AU"/>
        </w:rPr>
        <w:t>(iv)</w:t>
      </w:r>
      <w:r w:rsidRPr="00293128">
        <w:rPr>
          <w:sz w:val="18"/>
          <w:szCs w:val="18"/>
          <w:lang w:eastAsia="en-AU"/>
        </w:rPr>
        <w:tab/>
        <w:t>Copies of Trust Deeds relating to Warrants to be traded (if any).</w:t>
      </w:r>
    </w:p>
    <w:p w:rsidR="004D2909" w:rsidRPr="00293128" w:rsidRDefault="004D2909" w:rsidP="004D2909">
      <w:pPr>
        <w:pStyle w:val="List2"/>
        <w:rPr>
          <w:sz w:val="18"/>
          <w:szCs w:val="18"/>
          <w:lang w:eastAsia="en-AU"/>
        </w:rPr>
      </w:pPr>
      <w:r w:rsidRPr="00293128">
        <w:rPr>
          <w:sz w:val="18"/>
          <w:szCs w:val="18"/>
          <w:lang w:eastAsia="en-AU"/>
        </w:rPr>
        <w:t>(v)</w:t>
      </w:r>
      <w:r w:rsidRPr="00293128">
        <w:rPr>
          <w:sz w:val="18"/>
          <w:szCs w:val="18"/>
          <w:lang w:eastAsia="en-AU"/>
        </w:rPr>
        <w:tab/>
        <w:t>Copy of Certificate of Incorporation of Warrant-Issuer (and Guarantor) on the occasion of the first application for admission to trading status of Warrants issued by that Warrant-Issuer (and Guarantor).</w:t>
      </w:r>
    </w:p>
    <w:p w:rsidR="004D2909" w:rsidRPr="00293128" w:rsidRDefault="004D2909" w:rsidP="004D2909">
      <w:pPr>
        <w:pStyle w:val="List2"/>
        <w:rPr>
          <w:sz w:val="18"/>
          <w:szCs w:val="18"/>
          <w:lang w:eastAsia="en-AU"/>
        </w:rPr>
      </w:pPr>
      <w:r w:rsidRPr="00293128">
        <w:rPr>
          <w:sz w:val="18"/>
          <w:szCs w:val="18"/>
          <w:lang w:eastAsia="en-AU"/>
        </w:rPr>
        <w:t>(vi)</w:t>
      </w:r>
      <w:r w:rsidRPr="00293128">
        <w:rPr>
          <w:sz w:val="18"/>
          <w:szCs w:val="18"/>
          <w:lang w:eastAsia="en-AU"/>
        </w:rPr>
        <w:tab/>
        <w:t>Power of attorney (if applicable) or other evidence of due execution.</w:t>
      </w:r>
    </w:p>
    <w:p w:rsidR="004D2909" w:rsidRPr="00293128" w:rsidRDefault="004D2909" w:rsidP="004D2909">
      <w:pPr>
        <w:pStyle w:val="List2"/>
        <w:rPr>
          <w:sz w:val="18"/>
          <w:szCs w:val="18"/>
          <w:lang w:eastAsia="en-AU"/>
        </w:rPr>
      </w:pPr>
      <w:r w:rsidRPr="00293128">
        <w:rPr>
          <w:sz w:val="18"/>
          <w:szCs w:val="18"/>
          <w:lang w:eastAsia="en-AU"/>
        </w:rPr>
        <w:t>(vii)</w:t>
      </w:r>
      <w:r w:rsidRPr="00293128">
        <w:rPr>
          <w:sz w:val="18"/>
          <w:szCs w:val="18"/>
          <w:lang w:eastAsia="en-AU"/>
        </w:rPr>
        <w:tab/>
        <w:t>If multiple Warrant Market Makers are appointed in relation to this application (as per item 7 above), a list identifying each Trading Participant that is being appointed to act as a Warrants Market Maker in relation to each series.</w:t>
      </w:r>
    </w:p>
    <w:p w:rsidR="004D2909" w:rsidRPr="00293128" w:rsidRDefault="004D2909" w:rsidP="004D2909">
      <w:pPr>
        <w:pStyle w:val="List2"/>
        <w:rPr>
          <w:sz w:val="18"/>
          <w:szCs w:val="18"/>
          <w:lang w:eastAsia="en-AU"/>
        </w:rPr>
      </w:pPr>
      <w:r w:rsidRPr="00293128">
        <w:rPr>
          <w:sz w:val="18"/>
          <w:szCs w:val="18"/>
          <w:lang w:eastAsia="en-AU"/>
        </w:rPr>
        <w:t>(viii)</w:t>
      </w:r>
      <w:r w:rsidRPr="00293128">
        <w:rPr>
          <w:sz w:val="18"/>
          <w:szCs w:val="18"/>
          <w:lang w:eastAsia="en-AU"/>
        </w:rPr>
        <w:tab/>
        <w:t>Deleted</w:t>
      </w:r>
    </w:p>
    <w:p w:rsidR="004D2909" w:rsidRPr="00293128" w:rsidRDefault="004D2909" w:rsidP="004D2909">
      <w:pPr>
        <w:pStyle w:val="List2"/>
        <w:rPr>
          <w:sz w:val="18"/>
          <w:szCs w:val="18"/>
          <w:lang w:eastAsia="en-AU"/>
        </w:rPr>
      </w:pPr>
      <w:r w:rsidRPr="00293128">
        <w:rPr>
          <w:sz w:val="18"/>
          <w:szCs w:val="18"/>
          <w:lang w:eastAsia="en-AU"/>
        </w:rPr>
        <w:t>(ix)</w:t>
      </w:r>
      <w:r w:rsidRPr="00293128">
        <w:rPr>
          <w:sz w:val="18"/>
          <w:szCs w:val="18"/>
          <w:lang w:eastAsia="en-AU"/>
        </w:rPr>
        <w:tab/>
        <w:t>Certified copy of the Guarantee provided by the Guarantor pursuant to Rule 10.2.1(b), 10.2.1(d), and 10.2.2 (if applicable).</w:t>
      </w:r>
    </w:p>
    <w:p w:rsidR="004D2909" w:rsidRPr="00293128" w:rsidRDefault="004D2909" w:rsidP="004D2909">
      <w:pPr>
        <w:pStyle w:val="List2"/>
        <w:rPr>
          <w:sz w:val="18"/>
          <w:szCs w:val="18"/>
          <w:lang w:eastAsia="en-AU"/>
        </w:rPr>
      </w:pPr>
      <w:r w:rsidRPr="00293128">
        <w:rPr>
          <w:sz w:val="18"/>
          <w:szCs w:val="18"/>
          <w:lang w:eastAsia="en-AU"/>
        </w:rPr>
        <w:t>(x)</w:t>
      </w:r>
      <w:r w:rsidRPr="00293128">
        <w:rPr>
          <w:sz w:val="18"/>
          <w:szCs w:val="18"/>
          <w:lang w:eastAsia="en-AU"/>
        </w:rPr>
        <w:tab/>
        <w:t>Certified copy of the authorisation provided by the copyrightholder pursuant to Rule 10.3.7.</w:t>
      </w:r>
    </w:p>
    <w:p w:rsidR="004D2909"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21.</w:t>
      </w:r>
      <w:r w:rsidRPr="00B467DE">
        <w:rPr>
          <w:rFonts w:cs="Arial"/>
          <w:sz w:val="18"/>
          <w:szCs w:val="18"/>
          <w:lang w:eastAsia="en-AU"/>
        </w:rPr>
        <w:tab/>
        <w:t>Deleted</w:t>
      </w:r>
    </w:p>
    <w:p w:rsidR="004D2909" w:rsidRPr="00B467DE" w:rsidRDefault="004D2909" w:rsidP="004D2909">
      <w:pPr>
        <w:ind w:left="567" w:hanging="567"/>
        <w:rPr>
          <w:rFonts w:cs="Arial"/>
          <w:sz w:val="18"/>
          <w:szCs w:val="18"/>
          <w:lang w:eastAsia="en-AU"/>
        </w:rPr>
      </w:pPr>
      <w:r w:rsidRPr="00B467DE">
        <w:rPr>
          <w:rFonts w:cs="Arial"/>
          <w:sz w:val="18"/>
          <w:szCs w:val="18"/>
          <w:lang w:eastAsia="en-AU"/>
        </w:rPr>
        <w:t>22.</w:t>
      </w:r>
      <w:r w:rsidRPr="00B467DE">
        <w:rPr>
          <w:rFonts w:cs="Arial"/>
          <w:sz w:val="18"/>
          <w:szCs w:val="18"/>
          <w:lang w:eastAsia="en-AU"/>
        </w:rPr>
        <w:tab/>
        <w:t>Deleted</w:t>
      </w:r>
    </w:p>
    <w:p w:rsidR="004D2909" w:rsidRPr="00B467DE"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23.</w:t>
      </w:r>
      <w:r w:rsidRPr="00B467DE">
        <w:rPr>
          <w:rFonts w:cs="Arial"/>
          <w:sz w:val="18"/>
          <w:szCs w:val="18"/>
          <w:lang w:eastAsia="en-AU"/>
        </w:rPr>
        <w:tab/>
        <w:t>All documentation forwarded to ASX by or on behalf of a Warrant-Issuer and Guarantor (if applicable) whether provided in support of an application or in compliance with the Operating Rules for the time being or otherwise shall become and remain the property of ASX which may, in its absolute discretion, copy any or all of such documentation and forward such copies to any of its State subsidiaries, the public, the media, or any other interested party at its absolute discretion.  Private correspondence, including draft documents lodged with ASX (or any subsidiary) for approval, and marked "not for public release" must only be released to the public, the media, or any other interested party where ASX has formed the opinion that the information should be released and has given notice to the company to that effect.</w:t>
      </w:r>
    </w:p>
    <w:p w:rsidR="004D2909" w:rsidRPr="00B467DE"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24.</w:t>
      </w:r>
      <w:r w:rsidRPr="00B467DE">
        <w:rPr>
          <w:rFonts w:cs="Arial"/>
          <w:sz w:val="18"/>
          <w:szCs w:val="18"/>
          <w:lang w:eastAsia="en-AU"/>
        </w:rPr>
        <w:tab/>
        <w:t>If the Warrants are admitted to Trading Status, the Warrant-Issuer:</w:t>
      </w:r>
    </w:p>
    <w:p w:rsidR="004D2909" w:rsidRPr="00293128" w:rsidRDefault="004D2909" w:rsidP="004D2909">
      <w:pPr>
        <w:pStyle w:val="List2"/>
        <w:rPr>
          <w:sz w:val="18"/>
          <w:szCs w:val="18"/>
          <w:lang w:eastAsia="en-AU"/>
        </w:rPr>
      </w:pPr>
      <w:r w:rsidRPr="00293128">
        <w:rPr>
          <w:sz w:val="18"/>
          <w:szCs w:val="18"/>
          <w:lang w:eastAsia="en-AU"/>
        </w:rPr>
        <w:t>(a)</w:t>
      </w:r>
      <w:r w:rsidRPr="00293128">
        <w:rPr>
          <w:sz w:val="18"/>
          <w:szCs w:val="18"/>
          <w:lang w:eastAsia="en-AU"/>
        </w:rPr>
        <w:tab/>
        <w:t>agrees to satisfy the ASX Clear Pty Limited (“ASX Clear”) technical and performance requirements and meet such other requirements as ASX Clear may impose in connection with the approval of the Warrants as CHESS Approved Securities; and</w:t>
      </w:r>
    </w:p>
    <w:p w:rsidR="004D2909" w:rsidRPr="00293128" w:rsidRDefault="004D2909" w:rsidP="004D2909">
      <w:pPr>
        <w:pStyle w:val="List2"/>
        <w:rPr>
          <w:sz w:val="18"/>
          <w:szCs w:val="18"/>
          <w:lang w:eastAsia="en-AU"/>
        </w:rPr>
      </w:pPr>
      <w:r w:rsidRPr="00293128">
        <w:rPr>
          <w:sz w:val="18"/>
          <w:szCs w:val="18"/>
          <w:lang w:eastAsia="en-AU"/>
        </w:rPr>
        <w:t>(b)</w:t>
      </w:r>
      <w:r w:rsidRPr="00293128">
        <w:rPr>
          <w:sz w:val="18"/>
          <w:szCs w:val="18"/>
          <w:lang w:eastAsia="en-AU"/>
        </w:rPr>
        <w:tab/>
        <w:t>undertakes when the Warrants are issued, to despatch them by deposit to the CHESS sub-register holding of the applicant prior to the Warrants commencing to trade if the applicant instructs the Warrant-Issuer on the application form to enter those Warrants into a nominated holding on the CHESS sub-register; and</w:t>
      </w:r>
    </w:p>
    <w:p w:rsidR="004D2909" w:rsidRPr="00293128" w:rsidRDefault="004D2909" w:rsidP="004D2909">
      <w:pPr>
        <w:pStyle w:val="List2"/>
        <w:rPr>
          <w:sz w:val="18"/>
          <w:szCs w:val="18"/>
          <w:lang w:eastAsia="en-AU"/>
        </w:rPr>
      </w:pPr>
      <w:r w:rsidRPr="00293128">
        <w:rPr>
          <w:sz w:val="18"/>
          <w:szCs w:val="18"/>
          <w:lang w:eastAsia="en-AU"/>
        </w:rPr>
        <w:t>(c)</w:t>
      </w:r>
      <w:r w:rsidRPr="00293128">
        <w:rPr>
          <w:sz w:val="18"/>
          <w:szCs w:val="18"/>
          <w:lang w:eastAsia="en-AU"/>
        </w:rPr>
        <w:tab/>
        <w:t>acknowledges that ASX Clear is authorised to establish and administer a CHESS sub-register in respect of the Warrants; and</w:t>
      </w:r>
    </w:p>
    <w:p w:rsidR="004D2909" w:rsidRPr="00293128" w:rsidRDefault="004D2909" w:rsidP="004D2909">
      <w:pPr>
        <w:pStyle w:val="List2"/>
        <w:rPr>
          <w:sz w:val="18"/>
          <w:szCs w:val="18"/>
          <w:lang w:eastAsia="en-AU"/>
        </w:rPr>
      </w:pPr>
      <w:r w:rsidRPr="00293128">
        <w:rPr>
          <w:sz w:val="18"/>
          <w:szCs w:val="18"/>
          <w:lang w:eastAsia="en-AU"/>
        </w:rPr>
        <w:t>(d)</w:t>
      </w:r>
      <w:r w:rsidRPr="00293128">
        <w:rPr>
          <w:sz w:val="18"/>
          <w:szCs w:val="18"/>
          <w:lang w:eastAsia="en-AU"/>
        </w:rPr>
        <w:tab/>
        <w:t>undertakes to notify ASX immediately if it proposes to set a record date for a corporate action in respect of these Warrants or if it proposes to make any changes to a proposed record date; and</w:t>
      </w:r>
    </w:p>
    <w:p w:rsidR="004D2909" w:rsidRPr="00293128" w:rsidRDefault="004D2909" w:rsidP="004D2909">
      <w:pPr>
        <w:pStyle w:val="List2"/>
        <w:rPr>
          <w:sz w:val="18"/>
          <w:szCs w:val="18"/>
          <w:lang w:eastAsia="en-AU"/>
        </w:rPr>
      </w:pPr>
      <w:r w:rsidRPr="00293128">
        <w:rPr>
          <w:sz w:val="18"/>
          <w:szCs w:val="18"/>
          <w:lang w:eastAsia="en-AU"/>
        </w:rPr>
        <w:t>(e)</w:t>
      </w:r>
      <w:r w:rsidRPr="00293128">
        <w:rPr>
          <w:sz w:val="18"/>
          <w:szCs w:val="18"/>
          <w:lang w:eastAsia="en-AU"/>
        </w:rPr>
        <w:tab/>
        <w:t>will, when undertaking a corporate action, use reasonable endeavours to follow any Listing Rule timetables (such as Listing Rule Appendix 6A and 7A) as if the Warrants were securities of an entity Admitted to the Official List of ASX; and</w:t>
      </w:r>
    </w:p>
    <w:p w:rsidR="004D2909" w:rsidRPr="00293128" w:rsidRDefault="004D2909" w:rsidP="004D2909">
      <w:pPr>
        <w:pStyle w:val="List2"/>
        <w:rPr>
          <w:sz w:val="18"/>
          <w:szCs w:val="18"/>
          <w:lang w:eastAsia="en-AU"/>
        </w:rPr>
      </w:pPr>
      <w:r w:rsidRPr="00293128">
        <w:rPr>
          <w:sz w:val="18"/>
          <w:szCs w:val="18"/>
          <w:lang w:eastAsia="en-AU"/>
        </w:rPr>
        <w:t>(f)</w:t>
      </w:r>
      <w:r w:rsidRPr="00293128">
        <w:rPr>
          <w:sz w:val="18"/>
          <w:szCs w:val="18"/>
          <w:lang w:eastAsia="en-AU"/>
        </w:rPr>
        <w:tab/>
      </w:r>
      <w:r w:rsidRPr="00A248BD">
        <w:rPr>
          <w:sz w:val="18"/>
          <w:szCs w:val="18"/>
          <w:lang w:eastAsia="en-AU"/>
        </w:rPr>
        <w:t>without limitation to its obligation under Rule 10.2.1 to notify ASX immediately in writing if any of the requirements in that Rule is no longer met,</w:t>
      </w:r>
      <w:r>
        <w:rPr>
          <w:sz w:val="18"/>
          <w:szCs w:val="18"/>
          <w:lang w:eastAsia="en-AU"/>
        </w:rPr>
        <w:t xml:space="preserve"> </w:t>
      </w:r>
      <w:r w:rsidRPr="00293128">
        <w:rPr>
          <w:sz w:val="18"/>
          <w:szCs w:val="18"/>
          <w:lang w:eastAsia="en-AU"/>
        </w:rPr>
        <w:t>undertakes to notify ASX immediately if:</w:t>
      </w:r>
    </w:p>
    <w:p w:rsidR="004D2909" w:rsidRPr="00293128" w:rsidRDefault="004D2909" w:rsidP="004D2909">
      <w:pPr>
        <w:pStyle w:val="List3"/>
        <w:rPr>
          <w:sz w:val="18"/>
          <w:szCs w:val="18"/>
          <w:lang w:eastAsia="en-AU"/>
        </w:rPr>
      </w:pPr>
      <w:r w:rsidRPr="00293128">
        <w:rPr>
          <w:sz w:val="18"/>
          <w:szCs w:val="18"/>
          <w:lang w:eastAsia="en-AU"/>
        </w:rPr>
        <w:t>(i)</w:t>
      </w:r>
      <w:r w:rsidRPr="00293128">
        <w:rPr>
          <w:sz w:val="18"/>
          <w:szCs w:val="18"/>
          <w:lang w:eastAsia="en-AU"/>
        </w:rPr>
        <w:tab/>
        <w:t>any licence authorisation held by the Warrant Issuer under Chapter 7 of the Corporations Act for the purpose of the conduct of its business as a Warrant Issuer under Schedule 10 of the ASX Operating Rules is suspended, cancelled or otherwise ceases to have effect; or</w:t>
      </w:r>
    </w:p>
    <w:p w:rsidR="004D2909" w:rsidRPr="00293128" w:rsidRDefault="004D2909" w:rsidP="004D2909">
      <w:pPr>
        <w:pStyle w:val="List3"/>
        <w:rPr>
          <w:sz w:val="18"/>
          <w:szCs w:val="18"/>
          <w:lang w:eastAsia="en-AU"/>
        </w:rPr>
      </w:pPr>
      <w:r w:rsidRPr="00293128">
        <w:rPr>
          <w:sz w:val="18"/>
          <w:szCs w:val="18"/>
          <w:lang w:eastAsia="en-AU"/>
        </w:rPr>
        <w:t>(ii)</w:t>
      </w:r>
      <w:r w:rsidRPr="00293128">
        <w:rPr>
          <w:sz w:val="18"/>
          <w:szCs w:val="18"/>
          <w:lang w:eastAsia="en-AU"/>
        </w:rPr>
        <w:tab/>
        <w:t xml:space="preserve">there is any change in the facilities, procedures, personnel or financial resources of the Warrant Issuer, or in any other facts or circumstances affecting the Warrant Issuer, which adversely affects its ability to: </w:t>
      </w:r>
    </w:p>
    <w:p w:rsidR="004D2909" w:rsidRPr="00293128" w:rsidRDefault="004D2909" w:rsidP="004D2909">
      <w:pPr>
        <w:pStyle w:val="List4"/>
        <w:rPr>
          <w:sz w:val="18"/>
          <w:szCs w:val="18"/>
          <w:lang w:eastAsia="en-AU"/>
        </w:rPr>
      </w:pPr>
      <w:r w:rsidRPr="00293128">
        <w:rPr>
          <w:sz w:val="18"/>
          <w:szCs w:val="18"/>
          <w:lang w:eastAsia="en-AU"/>
        </w:rPr>
        <w:t>(A)</w:t>
      </w:r>
      <w:r w:rsidRPr="00293128">
        <w:rPr>
          <w:sz w:val="18"/>
          <w:szCs w:val="18"/>
          <w:lang w:eastAsia="en-AU"/>
        </w:rPr>
        <w:tab/>
        <w:t>perform its obligations as a Warrant Issuer; or</w:t>
      </w:r>
    </w:p>
    <w:p w:rsidR="004D2909" w:rsidRPr="00293128" w:rsidRDefault="004D2909" w:rsidP="004D2909">
      <w:pPr>
        <w:pStyle w:val="List4"/>
        <w:rPr>
          <w:sz w:val="18"/>
          <w:szCs w:val="18"/>
          <w:lang w:eastAsia="en-AU"/>
        </w:rPr>
      </w:pPr>
      <w:r w:rsidRPr="00293128">
        <w:rPr>
          <w:sz w:val="18"/>
          <w:szCs w:val="18"/>
          <w:lang w:eastAsia="en-AU"/>
        </w:rPr>
        <w:t>(B)</w:t>
      </w:r>
      <w:r w:rsidRPr="00293128">
        <w:rPr>
          <w:sz w:val="18"/>
          <w:szCs w:val="18"/>
          <w:lang w:eastAsia="en-AU"/>
        </w:rPr>
        <w:tab/>
        <w:t>satisfy ASX that it has facilities, procedures, personnel and financial resources which are adequate for the performance by the Warrant Issuer of its obligations as a Warrant Issuer.</w:t>
      </w:r>
    </w:p>
    <w:p w:rsidR="004D2909" w:rsidRPr="00B467DE"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Dated:</w:t>
      </w:r>
    </w:p>
    <w:p w:rsidR="004D2909" w:rsidRPr="00B467DE"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[INSERT EXECUTION CLAUSE</w:t>
      </w:r>
    </w:p>
    <w:p w:rsidR="004D2909" w:rsidRPr="00B467DE"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 xml:space="preserve">Proper execution </w:t>
      </w:r>
      <w:r>
        <w:rPr>
          <w:rFonts w:cs="Arial"/>
          <w:sz w:val="18"/>
          <w:szCs w:val="18"/>
          <w:lang w:eastAsia="en-AU"/>
        </w:rPr>
        <w:t>–</w:t>
      </w:r>
      <w:r w:rsidRPr="00B467DE">
        <w:rPr>
          <w:rFonts w:cs="Arial"/>
          <w:sz w:val="18"/>
          <w:szCs w:val="18"/>
          <w:lang w:eastAsia="en-AU"/>
        </w:rPr>
        <w:t xml:space="preserve"> if the Warrant-Issuer has a seal, execution must be under seal]</w:t>
      </w:r>
    </w:p>
    <w:p w:rsidR="004D2909" w:rsidRPr="00B467DE" w:rsidRDefault="004D2909" w:rsidP="004D2909">
      <w:pPr>
        <w:ind w:left="567" w:hanging="567"/>
        <w:rPr>
          <w:rFonts w:cs="Arial"/>
          <w:sz w:val="18"/>
          <w:szCs w:val="18"/>
          <w:lang w:eastAsia="en-AU"/>
        </w:rPr>
      </w:pPr>
    </w:p>
    <w:p w:rsidR="004D2909" w:rsidRPr="00B467DE" w:rsidRDefault="004D2909" w:rsidP="004D2909">
      <w:pPr>
        <w:ind w:left="567" w:hanging="567"/>
        <w:rPr>
          <w:rFonts w:cs="Arial"/>
          <w:sz w:val="18"/>
          <w:szCs w:val="18"/>
          <w:lang w:eastAsia="en-AU"/>
        </w:rPr>
      </w:pPr>
      <w:r w:rsidRPr="00B467DE">
        <w:rPr>
          <w:rFonts w:cs="Arial"/>
          <w:sz w:val="18"/>
          <w:szCs w:val="18"/>
          <w:lang w:eastAsia="en-AU"/>
        </w:rPr>
        <w:t xml:space="preserve">[Proper execution </w:t>
      </w:r>
      <w:r>
        <w:rPr>
          <w:rFonts w:cs="Arial"/>
          <w:sz w:val="18"/>
          <w:szCs w:val="18"/>
          <w:lang w:eastAsia="en-AU"/>
        </w:rPr>
        <w:t>–</w:t>
      </w:r>
      <w:r w:rsidRPr="00B467DE">
        <w:rPr>
          <w:rFonts w:cs="Arial"/>
          <w:sz w:val="18"/>
          <w:szCs w:val="18"/>
          <w:lang w:eastAsia="en-AU"/>
        </w:rPr>
        <w:t xml:space="preserve"> if the Guarantor has a seal, execution must be under seal]</w:t>
      </w:r>
    </w:p>
    <w:p w:rsidR="004D2909" w:rsidRPr="00B467DE" w:rsidRDefault="004D2909" w:rsidP="004D2909">
      <w:pPr>
        <w:ind w:left="567" w:hanging="567"/>
        <w:rPr>
          <w:rFonts w:cs="Arial"/>
          <w:sz w:val="18"/>
          <w:szCs w:val="18"/>
          <w:lang w:eastAsia="en-AU"/>
        </w:rPr>
      </w:pPr>
    </w:p>
    <w:p w:rsidR="004D2909" w:rsidRDefault="004D2909" w:rsidP="004D2909">
      <w:pPr>
        <w:pStyle w:val="Introduced"/>
      </w:pPr>
      <w:r>
        <w:t>Amended 13/05/15</w:t>
      </w:r>
    </w:p>
    <w:p w:rsidR="004D2909" w:rsidRDefault="004D2909" w:rsidP="004D2909">
      <w:pPr>
        <w:ind w:left="567" w:hanging="567"/>
        <w:rPr>
          <w:rFonts w:cs="Arial"/>
          <w:sz w:val="18"/>
          <w:szCs w:val="18"/>
          <w:lang w:eastAsia="en-AU"/>
        </w:rPr>
        <w:sectPr w:rsidR="004D2909" w:rsidSect="007A7E73">
          <w:footerReference w:type="default" r:id="rId6"/>
          <w:pgSz w:w="11907" w:h="16840" w:code="9"/>
          <w:pgMar w:top="1134" w:right="1418" w:bottom="1134" w:left="1418" w:header="1" w:footer="720" w:gutter="0"/>
          <w:cols w:space="720"/>
        </w:sectPr>
      </w:pPr>
    </w:p>
    <w:p w:rsidR="00531B99" w:rsidRPr="001A6251" w:rsidRDefault="00531B99">
      <w:pPr>
        <w:rPr>
          <w:rFonts w:asciiTheme="minorHAnsi" w:hAnsiTheme="minorHAnsi"/>
        </w:rPr>
      </w:pPr>
    </w:p>
    <w:sectPr w:rsidR="00531B99" w:rsidRPr="001A62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50FE1" w:rsidRDefault="00C50FE1">
      <w:pPr>
        <w:spacing w:before="0" w:after="0"/>
      </w:pPr>
      <w:r>
        <w:separator/>
      </w:r>
    </w:p>
  </w:endnote>
  <w:endnote w:type="continuationSeparator" w:id="0">
    <w:p w:rsidR="00C50FE1" w:rsidRDefault="00C50F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lober Regular">
    <w:panose1 w:val="00000000000000000000"/>
    <w:charset w:val="00"/>
    <w:family w:val="auto"/>
    <w:pitch w:val="variable"/>
    <w:sig w:usb0="A00002AF" w:usb1="5000207B" w:usb2="00000000" w:usb3="00000000" w:csb0="000000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Cn BT">
    <w:altName w:val="Arial"/>
    <w:charset w:val="00"/>
    <w:family w:val="swiss"/>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EA08BB" w:rsidRDefault="004640BA" w:rsidP="00025B82">
    <w:pPr>
      <w:pStyle w:val="Footer"/>
      <w:pBdr>
        <w:top w:val="single" w:sz="4" w:space="1" w:color="auto"/>
      </w:pBdr>
    </w:pPr>
    <w:r w:rsidRPr="00EA08BB">
      <w:t>ASX Operating Rules</w:t>
    </w:r>
    <w:r>
      <w:tab/>
      <w:t>Procedures Appendices</w:t>
    </w:r>
    <w:r>
      <w:tab/>
      <w:t xml:space="preserve">Page </w:t>
    </w:r>
    <w:r>
      <w:rPr>
        <w:rStyle w:val="PageNumber"/>
      </w:rPr>
      <w:fldChar w:fldCharType="begin"/>
    </w:r>
    <w:r>
      <w:rPr>
        <w:rStyle w:val="PageNumber"/>
      </w:rPr>
      <w:instrText xml:space="preserve"> PAGE </w:instrText>
    </w:r>
    <w:r>
      <w:rPr>
        <w:rStyle w:val="PageNumber"/>
      </w:rPr>
      <w:fldChar w:fldCharType="separate"/>
    </w:r>
    <w:r w:rsidR="004D1FEC">
      <w:rPr>
        <w:rStyle w:val="PageNumber"/>
        <w:noProof/>
      </w:rPr>
      <w:t>7</w:t>
    </w:r>
    <w:r>
      <w:rPr>
        <w:rStyle w:val="PageNumber"/>
      </w:rPr>
      <w:fldChar w:fldCharType="end"/>
    </w:r>
  </w:p>
  <w:p w:rsidR="00000000" w:rsidRPr="00025B82" w:rsidRDefault="004640BA" w:rsidP="00025B82">
    <w:pPr>
      <w:pStyle w:val="Footer"/>
      <w:ind w:right="360"/>
      <w:rPr>
        <w:rStyle w:val="PageNumber"/>
      </w:rPr>
    </w:pPr>
    <w:r>
      <w:rPr>
        <w:i/>
      </w:rPr>
      <w:t>13 May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50FE1" w:rsidRDefault="00C50FE1">
      <w:pPr>
        <w:spacing w:before="0" w:after="0"/>
      </w:pPr>
      <w:r>
        <w:separator/>
      </w:r>
    </w:p>
  </w:footnote>
  <w:footnote w:type="continuationSeparator" w:id="0">
    <w:p w:rsidR="00C50FE1" w:rsidRDefault="00C50FE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enforcement="1" w:cryptProviderType="rsaAES" w:cryptAlgorithmClass="hash" w:cryptAlgorithmType="typeAny" w:cryptAlgorithmSid="14" w:cryptSpinCount="100000" w:hash="VrE6z2rboN8hRPU2kWxlgX7UhfZUTXNM9ivPZFaGS27mKjcNCXvDGXGyvfYrTVUdEDNlyIKOYb8whyfw0RCCiA==" w:salt="VSfOV0I0Tj2Wi6AW0gKe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09"/>
    <w:rsid w:val="001A6251"/>
    <w:rsid w:val="00373D49"/>
    <w:rsid w:val="004640BA"/>
    <w:rsid w:val="004C6660"/>
    <w:rsid w:val="004D1FEC"/>
    <w:rsid w:val="004D2909"/>
    <w:rsid w:val="00531B99"/>
    <w:rsid w:val="007E61C0"/>
    <w:rsid w:val="00C11DBA"/>
    <w:rsid w:val="00C50FE1"/>
    <w:rsid w:val="00C96BAE"/>
    <w:rsid w:val="00D065DF"/>
    <w:rsid w:val="00E27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D6B606B"/>
  <w15:chartTrackingRefBased/>
  <w15:docId w15:val="{C178A36C-7AF4-48EF-81B0-2CC0A5C8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lober Regular" w:eastAsiaTheme="minorHAnsi" w:hAnsi="Glober Regular"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09"/>
    <w:pPr>
      <w:tabs>
        <w:tab w:val="left" w:pos="851"/>
      </w:tabs>
      <w:spacing w:before="120" w:after="120" w:line="240" w:lineRule="auto"/>
    </w:pPr>
    <w:rPr>
      <w:rFonts w:ascii="Arial" w:eastAsia="Times New Roman" w:hAnsi="Arial" w:cs="Times New Roman"/>
      <w:szCs w:val="24"/>
    </w:rPr>
  </w:style>
  <w:style w:type="paragraph" w:styleId="Heading1">
    <w:name w:val="heading 1"/>
    <w:basedOn w:val="Normal"/>
    <w:next w:val="Normal"/>
    <w:link w:val="Heading1Char"/>
    <w:qFormat/>
    <w:rsid w:val="004D2909"/>
    <w:pPr>
      <w:keepNext/>
      <w:tabs>
        <w:tab w:val="clear" w:pos="851"/>
      </w:tabs>
      <w:spacing w:before="0"/>
      <w:ind w:left="2268" w:hanging="2268"/>
      <w:outlineLvl w:val="0"/>
    </w:pPr>
    <w:rPr>
      <w:rFonts w:ascii="Zurich Cn BT" w:hAnsi="Zurich Cn BT" w:cs="Arial"/>
      <w:b/>
      <w:bCs/>
      <w:kern w:val="32"/>
      <w:sz w:val="32"/>
      <w:szCs w:val="32"/>
    </w:rPr>
  </w:style>
  <w:style w:type="paragraph" w:styleId="Heading2">
    <w:name w:val="heading 2"/>
    <w:basedOn w:val="Normal"/>
    <w:next w:val="Normal"/>
    <w:link w:val="Heading2Char"/>
    <w:qFormat/>
    <w:rsid w:val="004D2909"/>
    <w:pPr>
      <w:keepNext/>
      <w:tabs>
        <w:tab w:val="clear" w:pos="851"/>
      </w:tabs>
      <w:spacing w:before="360"/>
      <w:outlineLvl w:val="1"/>
    </w:pPr>
    <w:rPr>
      <w:rFonts w:ascii="Zurich Cn BT" w:hAnsi="Zurich Cn BT" w:cs="Arial"/>
      <w:b/>
      <w:bCs/>
      <w:iCs/>
      <w:sz w:val="26"/>
      <w:szCs w:val="28"/>
    </w:rPr>
  </w:style>
  <w:style w:type="paragraph" w:styleId="Heading3">
    <w:name w:val="heading 3"/>
    <w:basedOn w:val="Normal"/>
    <w:next w:val="Normal"/>
    <w:link w:val="Heading3Char"/>
    <w:qFormat/>
    <w:rsid w:val="004D2909"/>
    <w:pPr>
      <w:keepNext/>
      <w:tabs>
        <w:tab w:val="clear" w:pos="851"/>
      </w:tabs>
      <w:spacing w:before="240"/>
      <w:jc w:val="center"/>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909"/>
    <w:rPr>
      <w:rFonts w:ascii="Zurich Cn BT" w:eastAsia="Times New Roman" w:hAnsi="Zurich Cn BT" w:cs="Arial"/>
      <w:b/>
      <w:bCs/>
      <w:kern w:val="32"/>
      <w:sz w:val="32"/>
      <w:szCs w:val="32"/>
    </w:rPr>
  </w:style>
  <w:style w:type="character" w:customStyle="1" w:styleId="Heading2Char">
    <w:name w:val="Heading 2 Char"/>
    <w:basedOn w:val="DefaultParagraphFont"/>
    <w:link w:val="Heading2"/>
    <w:rsid w:val="004D2909"/>
    <w:rPr>
      <w:rFonts w:ascii="Zurich Cn BT" w:eastAsia="Times New Roman" w:hAnsi="Zurich Cn BT" w:cs="Arial"/>
      <w:b/>
      <w:bCs/>
      <w:iCs/>
      <w:sz w:val="26"/>
      <w:szCs w:val="28"/>
    </w:rPr>
  </w:style>
  <w:style w:type="character" w:customStyle="1" w:styleId="Heading3Char">
    <w:name w:val="Heading 3 Char"/>
    <w:basedOn w:val="DefaultParagraphFont"/>
    <w:link w:val="Heading3"/>
    <w:rsid w:val="004D2909"/>
    <w:rPr>
      <w:rFonts w:ascii="Arial" w:eastAsia="Times New Roman" w:hAnsi="Arial" w:cs="Arial"/>
      <w:b/>
      <w:bCs/>
      <w:szCs w:val="26"/>
    </w:rPr>
  </w:style>
  <w:style w:type="paragraph" w:styleId="List2">
    <w:name w:val="List 2"/>
    <w:basedOn w:val="Normal"/>
    <w:rsid w:val="004D2909"/>
    <w:pPr>
      <w:tabs>
        <w:tab w:val="clear" w:pos="851"/>
        <w:tab w:val="left" w:pos="1701"/>
      </w:tabs>
      <w:overflowPunct w:val="0"/>
      <w:autoSpaceDE w:val="0"/>
      <w:autoSpaceDN w:val="0"/>
      <w:adjustRightInd w:val="0"/>
      <w:ind w:left="1702" w:hanging="851"/>
      <w:textAlignment w:val="baseline"/>
    </w:pPr>
    <w:rPr>
      <w:iCs/>
      <w:szCs w:val="20"/>
    </w:rPr>
  </w:style>
  <w:style w:type="paragraph" w:styleId="Footer">
    <w:name w:val="footer"/>
    <w:basedOn w:val="Normal"/>
    <w:link w:val="FooterChar"/>
    <w:rsid w:val="004D2909"/>
    <w:pPr>
      <w:tabs>
        <w:tab w:val="clear" w:pos="851"/>
        <w:tab w:val="center" w:pos="4536"/>
        <w:tab w:val="right" w:pos="9072"/>
      </w:tabs>
      <w:spacing w:before="0" w:after="0"/>
    </w:pPr>
    <w:rPr>
      <w:sz w:val="18"/>
    </w:rPr>
  </w:style>
  <w:style w:type="character" w:customStyle="1" w:styleId="FooterChar">
    <w:name w:val="Footer Char"/>
    <w:basedOn w:val="DefaultParagraphFont"/>
    <w:link w:val="Footer"/>
    <w:rsid w:val="004D2909"/>
    <w:rPr>
      <w:rFonts w:ascii="Arial" w:eastAsia="Times New Roman" w:hAnsi="Arial" w:cs="Times New Roman"/>
      <w:sz w:val="18"/>
      <w:szCs w:val="24"/>
    </w:rPr>
  </w:style>
  <w:style w:type="character" w:styleId="PageNumber">
    <w:name w:val="page number"/>
    <w:basedOn w:val="DefaultParagraphFont"/>
    <w:rsid w:val="004D2909"/>
  </w:style>
  <w:style w:type="paragraph" w:customStyle="1" w:styleId="Introduced">
    <w:name w:val="Introduced"/>
    <w:basedOn w:val="List"/>
    <w:rsid w:val="004D2909"/>
    <w:pPr>
      <w:overflowPunct w:val="0"/>
      <w:autoSpaceDE w:val="0"/>
      <w:autoSpaceDN w:val="0"/>
      <w:adjustRightInd w:val="0"/>
      <w:spacing w:before="0" w:after="240"/>
      <w:ind w:left="0" w:firstLine="0"/>
      <w:contextualSpacing w:val="0"/>
      <w:textAlignment w:val="baseline"/>
    </w:pPr>
    <w:rPr>
      <w:bCs/>
      <w:iCs/>
      <w:sz w:val="16"/>
      <w:szCs w:val="20"/>
    </w:rPr>
  </w:style>
  <w:style w:type="paragraph" w:styleId="List3">
    <w:name w:val="List 3"/>
    <w:basedOn w:val="Normal"/>
    <w:rsid w:val="004D2909"/>
    <w:pPr>
      <w:tabs>
        <w:tab w:val="clear" w:pos="851"/>
        <w:tab w:val="left" w:pos="2268"/>
      </w:tabs>
      <w:ind w:left="2268" w:hanging="567"/>
    </w:pPr>
  </w:style>
  <w:style w:type="paragraph" w:styleId="List4">
    <w:name w:val="List 4"/>
    <w:basedOn w:val="Normal"/>
    <w:rsid w:val="004D2909"/>
    <w:pPr>
      <w:tabs>
        <w:tab w:val="clear" w:pos="851"/>
        <w:tab w:val="left" w:pos="2835"/>
      </w:tabs>
      <w:ind w:left="2835" w:hanging="567"/>
    </w:pPr>
  </w:style>
  <w:style w:type="paragraph" w:styleId="List">
    <w:name w:val="List"/>
    <w:basedOn w:val="Normal"/>
    <w:uiPriority w:val="99"/>
    <w:semiHidden/>
    <w:unhideWhenUsed/>
    <w:rsid w:val="004D290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1415</Words>
  <Characters>8067</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Securities Exchange</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Kim-Ly White (Nguyen)</dc:creator>
  <cp:keywords/>
  <dc:description/>
  <cp:lastModifiedBy>Dylan Kilgallon</cp:lastModifiedBy>
  <cp:revision>1</cp:revision>
  <dcterms:created xsi:type="dcterms:W3CDTF">2024-11-05T05:31:00Z</dcterms:created>
  <dcterms:modified xsi:type="dcterms:W3CDTF">2024-11-05T05:31:00Z</dcterms:modified>
</cp:coreProperties>
</file>