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451A2" w14:textId="5BF8BC97" w:rsidR="000C53BB" w:rsidRDefault="00286C22" w:rsidP="00286C22">
      <w:pPr>
        <w:pStyle w:val="Heading2"/>
        <w:jc w:val="center"/>
        <w:rPr>
          <w:rFonts w:ascii="Arial Narrow" w:hAnsi="Arial Narrow"/>
        </w:rPr>
      </w:pPr>
      <w:r>
        <w:rPr>
          <w:rFonts w:ascii="Arial Narrow" w:hAnsi="Arial Narrow"/>
        </w:rPr>
        <w:t>Work sheet to c</w:t>
      </w:r>
      <w:r w:rsidR="000C53BB" w:rsidRPr="00876567">
        <w:rPr>
          <w:rFonts w:ascii="Arial Narrow" w:hAnsi="Arial Narrow"/>
        </w:rPr>
        <w:t>alculat</w:t>
      </w:r>
      <w:r>
        <w:rPr>
          <w:rFonts w:ascii="Arial Narrow" w:hAnsi="Arial Narrow"/>
        </w:rPr>
        <w:t>e</w:t>
      </w:r>
      <w:r w:rsidR="000C53BB" w:rsidRPr="00876567">
        <w:rPr>
          <w:rFonts w:ascii="Arial Narrow" w:hAnsi="Arial Narrow"/>
        </w:rPr>
        <w:t xml:space="preserve"> </w:t>
      </w:r>
      <w:r w:rsidR="004113FE">
        <w:rPr>
          <w:rFonts w:ascii="Arial Narrow" w:hAnsi="Arial Narrow"/>
        </w:rPr>
        <w:t>placement capacity</w:t>
      </w:r>
      <w:r w:rsidR="000C53BB" w:rsidRPr="00876567">
        <w:rPr>
          <w:rFonts w:ascii="Arial Narrow" w:hAnsi="Arial Narrow"/>
        </w:rPr>
        <w:t xml:space="preserve"> under </w:t>
      </w:r>
      <w:r w:rsidR="00876567">
        <w:rPr>
          <w:rFonts w:ascii="Arial Narrow" w:hAnsi="Arial Narrow"/>
        </w:rPr>
        <w:t>Listing Rule </w:t>
      </w:r>
      <w:r w:rsidR="000C53BB" w:rsidRPr="00876567">
        <w:rPr>
          <w:rFonts w:ascii="Arial Narrow" w:hAnsi="Arial Narrow"/>
        </w:rPr>
        <w:t>7.1A</w:t>
      </w:r>
    </w:p>
    <w:p w14:paraId="64F6B32E" w14:textId="0A5EDBC7" w:rsidR="00286C22" w:rsidRPr="00286C22" w:rsidRDefault="00286C22" w:rsidP="00286C22">
      <w:pPr>
        <w:pStyle w:val="Heading2"/>
        <w:spacing w:after="240"/>
        <w:jc w:val="center"/>
        <w:rPr>
          <w:rFonts w:ascii="Arial Narrow" w:hAnsi="Arial Narrow"/>
        </w:rPr>
      </w:pPr>
      <w:r w:rsidRPr="00286C22">
        <w:rPr>
          <w:rFonts w:ascii="Arial Narrow" w:hAnsi="Arial Narrow"/>
        </w:rPr>
        <w:t>Guidance Note 21 Annexure C</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89"/>
      </w:tblGrid>
      <w:tr w:rsidR="00FD5EC3" w:rsidRPr="00876567" w14:paraId="221F6B7A" w14:textId="77777777" w:rsidTr="00BE6213">
        <w:trPr>
          <w:cantSplit/>
        </w:trPr>
        <w:tc>
          <w:tcPr>
            <w:tcW w:w="9072" w:type="dxa"/>
            <w:gridSpan w:val="2"/>
            <w:shd w:val="clear" w:color="auto" w:fill="FFFF00"/>
          </w:tcPr>
          <w:p w14:paraId="233ACEE2" w14:textId="2BA9F6BD" w:rsidR="00FD5EC3" w:rsidRPr="00876567" w:rsidRDefault="00FD5EC3" w:rsidP="00043317">
            <w:pPr>
              <w:keepNext/>
              <w:spacing w:before="120" w:after="120"/>
              <w:ind w:left="0" w:firstLine="0"/>
              <w:rPr>
                <w:rFonts w:cs="Arial"/>
                <w:b/>
                <w:i/>
                <w:sz w:val="24"/>
                <w:szCs w:val="24"/>
              </w:rPr>
            </w:pPr>
            <w:r>
              <w:rPr>
                <w:rFonts w:cs="Arial"/>
                <w:b/>
                <w:i/>
                <w:sz w:val="24"/>
                <w:szCs w:val="24"/>
              </w:rPr>
              <w:t>Step 1</w:t>
            </w:r>
            <w:r w:rsidRPr="00876567">
              <w:rPr>
                <w:rFonts w:cs="Arial"/>
                <w:b/>
                <w:i/>
                <w:sz w:val="24"/>
                <w:szCs w:val="24"/>
              </w:rPr>
              <w:t xml:space="preserve">: </w:t>
            </w:r>
            <w:r>
              <w:rPr>
                <w:rFonts w:cs="Arial"/>
                <w:b/>
                <w:i/>
                <w:sz w:val="24"/>
                <w:szCs w:val="24"/>
              </w:rPr>
              <w:t xml:space="preserve">confirm </w:t>
            </w:r>
            <w:r w:rsidR="007E7041" w:rsidRPr="00BD4881">
              <w:rPr>
                <w:rFonts w:cs="Arial"/>
                <w:b/>
                <w:i/>
                <w:sz w:val="24"/>
                <w:szCs w:val="24"/>
              </w:rPr>
              <w:t xml:space="preserve">entitlement to use rule 7.1A </w:t>
            </w:r>
            <w:r w:rsidR="004113FE">
              <w:rPr>
                <w:rFonts w:cs="Arial"/>
                <w:b/>
                <w:i/>
                <w:sz w:val="24"/>
                <w:szCs w:val="24"/>
              </w:rPr>
              <w:t>placement capacity</w:t>
            </w:r>
          </w:p>
        </w:tc>
      </w:tr>
      <w:tr w:rsidR="00FD5EC3" w:rsidRPr="00876567" w14:paraId="5BF550A9" w14:textId="77777777" w:rsidTr="00BE6213">
        <w:trPr>
          <w:cantSplit/>
        </w:trPr>
        <w:tc>
          <w:tcPr>
            <w:tcW w:w="4483" w:type="dxa"/>
            <w:shd w:val="clear" w:color="auto" w:fill="auto"/>
          </w:tcPr>
          <w:p w14:paraId="14A9788D" w14:textId="5DBC5B13" w:rsidR="00FD5EC3" w:rsidRPr="00BD47FB" w:rsidRDefault="00FD5EC3" w:rsidP="00FD5EC3">
            <w:pPr>
              <w:spacing w:before="120" w:after="120"/>
              <w:ind w:left="0" w:firstLine="0"/>
              <w:rPr>
                <w:rFonts w:cs="Arial"/>
              </w:rPr>
            </w:pPr>
            <w:r w:rsidRPr="00BD47FB">
              <w:rPr>
                <w:rFonts w:cs="Arial"/>
              </w:rPr>
              <w:t xml:space="preserve">Date of </w:t>
            </w:r>
            <w:r>
              <w:rPr>
                <w:rFonts w:cs="Arial"/>
              </w:rPr>
              <w:t xml:space="preserve">AGM approving additional </w:t>
            </w:r>
            <w:r w:rsidR="004113FE">
              <w:rPr>
                <w:rFonts w:cs="Arial"/>
              </w:rPr>
              <w:t>placement capacity</w:t>
            </w:r>
            <w:r>
              <w:rPr>
                <w:rFonts w:cs="Arial"/>
              </w:rPr>
              <w:t xml:space="preserve"> under rule 7.1A (must be not more than 12 months prior to the </w:t>
            </w:r>
            <w:r w:rsidRPr="00BD47FB">
              <w:rPr>
                <w:rFonts w:cs="Arial"/>
              </w:rPr>
              <w:t>issue or agreement to issue securities</w:t>
            </w:r>
            <w:r>
              <w:rPr>
                <w:rFonts w:cs="Arial"/>
              </w:rPr>
              <w:t xml:space="preserve"> in question)</w:t>
            </w:r>
          </w:p>
        </w:tc>
        <w:tc>
          <w:tcPr>
            <w:tcW w:w="4589" w:type="dxa"/>
            <w:shd w:val="clear" w:color="auto" w:fill="auto"/>
          </w:tcPr>
          <w:p w14:paraId="448275FD" w14:textId="77777777" w:rsidR="00FD5EC3" w:rsidRPr="007C4E77" w:rsidRDefault="00FD5EC3" w:rsidP="00FD5EC3">
            <w:pPr>
              <w:spacing w:before="120" w:after="120"/>
              <w:ind w:left="0" w:firstLine="0"/>
              <w:rPr>
                <w:rFonts w:cs="Arial"/>
              </w:rPr>
            </w:pPr>
          </w:p>
        </w:tc>
      </w:tr>
      <w:tr w:rsidR="004D01A4" w:rsidRPr="00953F21" w14:paraId="460D872B" w14:textId="77777777" w:rsidTr="00BE6213">
        <w:trPr>
          <w:cantSplit/>
        </w:trPr>
        <w:tc>
          <w:tcPr>
            <w:tcW w:w="4483" w:type="dxa"/>
            <w:shd w:val="clear" w:color="auto" w:fill="auto"/>
          </w:tcPr>
          <w:p w14:paraId="06E37D94" w14:textId="445691C9" w:rsidR="004D01A4" w:rsidRPr="003F41DA" w:rsidRDefault="004D01A4" w:rsidP="004D01A4">
            <w:pPr>
              <w:spacing w:before="120" w:after="120"/>
              <w:ind w:left="0" w:firstLine="0"/>
              <w:rPr>
                <w:rFonts w:cs="Arial"/>
              </w:rPr>
            </w:pPr>
            <w:r w:rsidRPr="004D01A4">
              <w:rPr>
                <w:rFonts w:cs="Arial"/>
              </w:rPr>
              <w:t xml:space="preserve">Confirm that at the date of the AGM </w:t>
            </w:r>
            <w:r>
              <w:rPr>
                <w:rFonts w:cs="Arial"/>
              </w:rPr>
              <w:t>above</w:t>
            </w:r>
            <w:r w:rsidRPr="004D01A4">
              <w:rPr>
                <w:rFonts w:cs="Arial"/>
              </w:rPr>
              <w:t>, the entity’s market capitalisation was less than $300 million and the entity was not included in the S&amp;P/ASX 300 Index</w:t>
            </w:r>
          </w:p>
        </w:tc>
        <w:tc>
          <w:tcPr>
            <w:tcW w:w="4589" w:type="dxa"/>
            <w:shd w:val="clear" w:color="auto" w:fill="auto"/>
          </w:tcPr>
          <w:p w14:paraId="60555E3F" w14:textId="77777777" w:rsidR="004D01A4" w:rsidRPr="003F41DA" w:rsidRDefault="004D01A4" w:rsidP="004D01A4">
            <w:pPr>
              <w:spacing w:before="120" w:after="120"/>
              <w:rPr>
                <w:rFonts w:cs="Arial"/>
                <w:lang w:val="en-AU"/>
              </w:rPr>
            </w:pPr>
          </w:p>
        </w:tc>
      </w:tr>
      <w:tr w:rsidR="004D01A4" w:rsidRPr="00953F21" w14:paraId="27C36DF7" w14:textId="77777777" w:rsidTr="00BE6213">
        <w:trPr>
          <w:cantSplit/>
        </w:trPr>
        <w:tc>
          <w:tcPr>
            <w:tcW w:w="4483" w:type="dxa"/>
            <w:shd w:val="clear" w:color="auto" w:fill="auto"/>
          </w:tcPr>
          <w:p w14:paraId="5823A082" w14:textId="4823B837" w:rsidR="004D01A4" w:rsidRPr="003F41DA" w:rsidRDefault="004D01A4" w:rsidP="004D01A4">
            <w:pPr>
              <w:spacing w:before="120" w:after="120"/>
              <w:ind w:left="0" w:firstLine="0"/>
              <w:rPr>
                <w:rFonts w:cs="Arial"/>
              </w:rPr>
            </w:pPr>
            <w:r w:rsidRPr="004D01A4">
              <w:rPr>
                <w:rFonts w:cs="Arial"/>
              </w:rPr>
              <w:t xml:space="preserve">Confirm that since the date of the AGM </w:t>
            </w:r>
            <w:r>
              <w:rPr>
                <w:rFonts w:cs="Arial"/>
              </w:rPr>
              <w:t>above</w:t>
            </w:r>
            <w:r w:rsidRPr="004D01A4">
              <w:rPr>
                <w:rFonts w:cs="Arial"/>
              </w:rPr>
              <w:t xml:space="preserve"> the entity has not had a subsequent AGM</w:t>
            </w:r>
          </w:p>
        </w:tc>
        <w:tc>
          <w:tcPr>
            <w:tcW w:w="4589" w:type="dxa"/>
            <w:shd w:val="clear" w:color="auto" w:fill="auto"/>
          </w:tcPr>
          <w:p w14:paraId="69D19163" w14:textId="77777777" w:rsidR="004D01A4" w:rsidRPr="003F41DA" w:rsidRDefault="004D01A4" w:rsidP="004D01A4">
            <w:pPr>
              <w:spacing w:before="120" w:after="120"/>
              <w:rPr>
                <w:rFonts w:cs="Arial"/>
                <w:lang w:val="en-AU"/>
              </w:rPr>
            </w:pPr>
          </w:p>
        </w:tc>
      </w:tr>
      <w:tr w:rsidR="004D01A4" w:rsidRPr="00953F21" w14:paraId="28BAC8E9" w14:textId="77777777" w:rsidTr="00BE6213">
        <w:trPr>
          <w:cantSplit/>
        </w:trPr>
        <w:tc>
          <w:tcPr>
            <w:tcW w:w="4483" w:type="dxa"/>
            <w:shd w:val="clear" w:color="auto" w:fill="auto"/>
          </w:tcPr>
          <w:p w14:paraId="10074A8D" w14:textId="7438E0A5" w:rsidR="004D01A4" w:rsidRPr="003F41DA" w:rsidRDefault="004D01A4" w:rsidP="004D01A4">
            <w:pPr>
              <w:spacing w:before="120" w:after="120"/>
              <w:ind w:left="0" w:firstLine="0"/>
              <w:rPr>
                <w:rFonts w:cs="Arial"/>
              </w:rPr>
            </w:pPr>
            <w:r w:rsidRPr="004D01A4">
              <w:rPr>
                <w:rFonts w:cs="Arial"/>
              </w:rPr>
              <w:t xml:space="preserve">Confirm that since the date of the AGM </w:t>
            </w:r>
            <w:r>
              <w:rPr>
                <w:rFonts w:cs="Arial"/>
              </w:rPr>
              <w:t>above</w:t>
            </w:r>
            <w:r w:rsidRPr="004D01A4">
              <w:rPr>
                <w:rFonts w:cs="Arial"/>
              </w:rPr>
              <w:t xml:space="preserve"> the entity’s security holders have not passed a resolution approving a transaction under Listing Rule 11.1.2 or 11.2</w:t>
            </w:r>
          </w:p>
        </w:tc>
        <w:tc>
          <w:tcPr>
            <w:tcW w:w="4589" w:type="dxa"/>
            <w:shd w:val="clear" w:color="auto" w:fill="auto"/>
          </w:tcPr>
          <w:p w14:paraId="02C3B31B" w14:textId="77777777" w:rsidR="004D01A4" w:rsidRPr="003F41DA" w:rsidRDefault="004D01A4" w:rsidP="004D01A4">
            <w:pPr>
              <w:spacing w:before="120" w:after="120"/>
              <w:rPr>
                <w:rFonts w:cs="Arial"/>
                <w:lang w:val="en-AU"/>
              </w:rPr>
            </w:pPr>
          </w:p>
        </w:tc>
      </w:tr>
      <w:tr w:rsidR="003F41DA" w:rsidRPr="00953F21" w14:paraId="5DC8926B" w14:textId="77777777" w:rsidTr="00BE6213">
        <w:trPr>
          <w:cantSplit/>
        </w:trPr>
        <w:tc>
          <w:tcPr>
            <w:tcW w:w="4483" w:type="dxa"/>
            <w:shd w:val="clear" w:color="auto" w:fill="auto"/>
          </w:tcPr>
          <w:p w14:paraId="20BA4BAB" w14:textId="77777777" w:rsidR="003F41DA" w:rsidRPr="003F41DA" w:rsidRDefault="003F41DA" w:rsidP="003F41DA">
            <w:pPr>
              <w:spacing w:before="120" w:after="120"/>
              <w:ind w:left="0" w:firstLine="0"/>
              <w:rPr>
                <w:rFonts w:cs="Arial"/>
              </w:rPr>
            </w:pPr>
            <w:r w:rsidRPr="003F41DA">
              <w:rPr>
                <w:rFonts w:cs="Arial"/>
              </w:rPr>
              <w:t>Confirm the securities being issued are in a class of securities presently quoted on ASX</w:t>
            </w:r>
          </w:p>
        </w:tc>
        <w:tc>
          <w:tcPr>
            <w:tcW w:w="4589" w:type="dxa"/>
            <w:shd w:val="clear" w:color="auto" w:fill="auto"/>
          </w:tcPr>
          <w:p w14:paraId="25F5B25E" w14:textId="77777777" w:rsidR="003F41DA" w:rsidRPr="003F41DA" w:rsidRDefault="003F41DA" w:rsidP="00A44BD9">
            <w:pPr>
              <w:spacing w:before="120" w:after="120"/>
              <w:rPr>
                <w:rFonts w:cs="Arial"/>
                <w:lang w:val="en-AU"/>
              </w:rPr>
            </w:pPr>
          </w:p>
        </w:tc>
      </w:tr>
      <w:tr w:rsidR="007E7041" w:rsidRPr="00953F21" w14:paraId="5DD14110" w14:textId="77777777" w:rsidTr="00BE6213">
        <w:trPr>
          <w:cantSplit/>
        </w:trPr>
        <w:tc>
          <w:tcPr>
            <w:tcW w:w="4483" w:type="dxa"/>
            <w:shd w:val="clear" w:color="auto" w:fill="auto"/>
          </w:tcPr>
          <w:p w14:paraId="65D14260" w14:textId="0D57622F" w:rsidR="00A7293D" w:rsidRDefault="00A7293D" w:rsidP="007E7041">
            <w:pPr>
              <w:spacing w:before="120" w:after="120"/>
              <w:ind w:left="0" w:firstLine="0"/>
              <w:outlineLvl w:val="2"/>
              <w:rPr>
                <w:rFonts w:cs="Arial"/>
                <w:lang w:val="en-AU"/>
              </w:rPr>
            </w:pPr>
            <w:r>
              <w:rPr>
                <w:rFonts w:cs="Arial"/>
                <w:lang w:val="en-AU"/>
              </w:rPr>
              <w:t xml:space="preserve">If </w:t>
            </w:r>
            <w:r w:rsidRPr="007E7041">
              <w:rPr>
                <w:rFonts w:cs="Arial"/>
                <w:lang w:val="en-AU"/>
              </w:rPr>
              <w:t xml:space="preserve">the securities </w:t>
            </w:r>
            <w:r>
              <w:rPr>
                <w:rFonts w:cs="Arial"/>
                <w:lang w:val="en-AU"/>
              </w:rPr>
              <w:t>we</w:t>
            </w:r>
            <w:r w:rsidRPr="007E7041">
              <w:rPr>
                <w:rFonts w:cs="Arial"/>
                <w:lang w:val="en-AU"/>
              </w:rPr>
              <w:t xml:space="preserve">re issued within 10 trading days of date on which the price </w:t>
            </w:r>
            <w:r>
              <w:rPr>
                <w:rFonts w:cs="Arial"/>
                <w:lang w:val="en-AU"/>
              </w:rPr>
              <w:t>for the issue of</w:t>
            </w:r>
            <w:r w:rsidRPr="007E7041">
              <w:rPr>
                <w:rFonts w:cs="Arial"/>
                <w:lang w:val="en-AU"/>
              </w:rPr>
              <w:t xml:space="preserve"> the securities was agreed</w:t>
            </w:r>
            <w:r>
              <w:rPr>
                <w:rFonts w:cs="Arial"/>
                <w:lang w:val="en-AU"/>
              </w:rPr>
              <w:t>, state:</w:t>
            </w:r>
          </w:p>
          <w:p w14:paraId="09B2334A" w14:textId="20ADD11F" w:rsidR="007E7041" w:rsidRDefault="007E7041" w:rsidP="00A7293D">
            <w:pPr>
              <w:numPr>
                <w:ilvl w:val="0"/>
                <w:numId w:val="2"/>
              </w:numPr>
              <w:overflowPunct/>
              <w:autoSpaceDE/>
              <w:autoSpaceDN/>
              <w:adjustRightInd/>
              <w:spacing w:after="120"/>
              <w:ind w:left="284" w:hanging="284"/>
              <w:textAlignment w:val="auto"/>
              <w:outlineLvl w:val="2"/>
              <w:rPr>
                <w:rFonts w:cs="Arial"/>
                <w:lang w:val="en-AU"/>
              </w:rPr>
            </w:pPr>
            <w:r w:rsidRPr="007E7041">
              <w:rPr>
                <w:rFonts w:cs="Arial"/>
                <w:lang w:val="en-AU"/>
              </w:rPr>
              <w:t xml:space="preserve">the date on which the price </w:t>
            </w:r>
            <w:r w:rsidR="00A7293D">
              <w:rPr>
                <w:rFonts w:cs="Arial"/>
                <w:lang w:val="en-AU"/>
              </w:rPr>
              <w:t>for the issue of</w:t>
            </w:r>
            <w:r w:rsidRPr="007E7041">
              <w:rPr>
                <w:rFonts w:cs="Arial"/>
                <w:lang w:val="en-AU"/>
              </w:rPr>
              <w:t xml:space="preserve"> the securities </w:t>
            </w:r>
            <w:r w:rsidR="00A7293D">
              <w:rPr>
                <w:rFonts w:cs="Arial"/>
                <w:lang w:val="en-AU"/>
              </w:rPr>
              <w:t>was agreed (the agreement date);</w:t>
            </w:r>
          </w:p>
          <w:p w14:paraId="20126FCC" w14:textId="25BBEF44" w:rsidR="00A7293D" w:rsidRDefault="00A7293D" w:rsidP="007E7041">
            <w:pPr>
              <w:numPr>
                <w:ilvl w:val="0"/>
                <w:numId w:val="2"/>
              </w:numPr>
              <w:overflowPunct/>
              <w:autoSpaceDE/>
              <w:autoSpaceDN/>
              <w:adjustRightInd/>
              <w:spacing w:after="120"/>
              <w:ind w:left="284" w:hanging="284"/>
              <w:textAlignment w:val="auto"/>
              <w:outlineLvl w:val="2"/>
              <w:rPr>
                <w:rFonts w:cs="Arial"/>
                <w:lang w:val="en-AU"/>
              </w:rPr>
            </w:pPr>
            <w:r>
              <w:rPr>
                <w:rFonts w:cs="Arial"/>
                <w:lang w:val="en-AU"/>
              </w:rPr>
              <w:t xml:space="preserve">the period covered by the </w:t>
            </w:r>
            <w:r w:rsidRPr="007E7041">
              <w:rPr>
                <w:rFonts w:cs="Arial"/>
                <w:lang w:val="en-AU"/>
              </w:rPr>
              <w:t>15 trading days on which trades in that class were recorded immediately before</w:t>
            </w:r>
            <w:r>
              <w:rPr>
                <w:rFonts w:cs="Arial"/>
                <w:lang w:val="en-AU"/>
              </w:rPr>
              <w:t xml:space="preserve"> the agreement date; and</w:t>
            </w:r>
          </w:p>
          <w:p w14:paraId="72A5FDA4" w14:textId="6A508CCB" w:rsidR="007E7041" w:rsidRPr="007E7041" w:rsidRDefault="00A7293D" w:rsidP="00A7293D">
            <w:pPr>
              <w:numPr>
                <w:ilvl w:val="0"/>
                <w:numId w:val="2"/>
              </w:numPr>
              <w:overflowPunct/>
              <w:autoSpaceDE/>
              <w:autoSpaceDN/>
              <w:adjustRightInd/>
              <w:spacing w:after="120"/>
              <w:ind w:left="284" w:hanging="284"/>
              <w:textAlignment w:val="auto"/>
              <w:outlineLvl w:val="2"/>
              <w:rPr>
                <w:rFonts w:cs="Arial"/>
              </w:rPr>
            </w:pPr>
            <w:r>
              <w:rPr>
                <w:rFonts w:cs="Arial"/>
                <w:lang w:val="en-AU"/>
              </w:rPr>
              <w:t xml:space="preserve">the </w:t>
            </w:r>
            <w:r w:rsidRPr="007E7041">
              <w:rPr>
                <w:rFonts w:cs="Arial"/>
                <w:lang w:val="en-AU"/>
              </w:rPr>
              <w:t>volume weighted average price (‘VWAP’) for securities in th</w:t>
            </w:r>
            <w:r>
              <w:rPr>
                <w:rFonts w:cs="Arial"/>
                <w:lang w:val="en-AU"/>
              </w:rPr>
              <w:t>e relevant class over that period</w:t>
            </w:r>
          </w:p>
        </w:tc>
        <w:tc>
          <w:tcPr>
            <w:tcW w:w="4589" w:type="dxa"/>
            <w:shd w:val="clear" w:color="auto" w:fill="auto"/>
          </w:tcPr>
          <w:p w14:paraId="6500768F" w14:textId="77777777" w:rsidR="007E7041" w:rsidRPr="003F41DA" w:rsidRDefault="007E7041" w:rsidP="007E7041">
            <w:pPr>
              <w:spacing w:before="120" w:after="120"/>
              <w:rPr>
                <w:rFonts w:cs="Arial"/>
                <w:lang w:val="en-AU"/>
              </w:rPr>
            </w:pPr>
          </w:p>
        </w:tc>
      </w:tr>
      <w:tr w:rsidR="007E7041" w:rsidRPr="00953F21" w14:paraId="338137BE" w14:textId="77777777" w:rsidTr="00BE6213">
        <w:trPr>
          <w:cantSplit/>
        </w:trPr>
        <w:tc>
          <w:tcPr>
            <w:tcW w:w="4483" w:type="dxa"/>
            <w:shd w:val="clear" w:color="auto" w:fill="auto"/>
          </w:tcPr>
          <w:p w14:paraId="28B2E044" w14:textId="473C68BB" w:rsidR="00A7293D" w:rsidRDefault="00A7293D" w:rsidP="00A7293D">
            <w:pPr>
              <w:spacing w:before="120" w:after="120"/>
              <w:ind w:left="0" w:firstLine="0"/>
              <w:outlineLvl w:val="2"/>
              <w:rPr>
                <w:rFonts w:cs="Arial"/>
                <w:lang w:val="en-AU"/>
              </w:rPr>
            </w:pPr>
            <w:r>
              <w:rPr>
                <w:rFonts w:cs="Arial"/>
                <w:lang w:val="en-AU"/>
              </w:rPr>
              <w:t xml:space="preserve">If </w:t>
            </w:r>
            <w:r w:rsidRPr="007E7041">
              <w:rPr>
                <w:rFonts w:cs="Arial"/>
                <w:lang w:val="en-AU"/>
              </w:rPr>
              <w:t xml:space="preserve">the securities </w:t>
            </w:r>
            <w:r>
              <w:rPr>
                <w:rFonts w:cs="Arial"/>
                <w:lang w:val="en-AU"/>
              </w:rPr>
              <w:t>we</w:t>
            </w:r>
            <w:r w:rsidRPr="007E7041">
              <w:rPr>
                <w:rFonts w:cs="Arial"/>
                <w:lang w:val="en-AU"/>
              </w:rPr>
              <w:t xml:space="preserve">re </w:t>
            </w:r>
            <w:r>
              <w:rPr>
                <w:rFonts w:cs="Arial"/>
                <w:lang w:val="en-AU"/>
              </w:rPr>
              <w:t xml:space="preserve">not </w:t>
            </w:r>
            <w:r w:rsidRPr="007E7041">
              <w:rPr>
                <w:rFonts w:cs="Arial"/>
                <w:lang w:val="en-AU"/>
              </w:rPr>
              <w:t xml:space="preserve">issued within 10 trading days of date on which the price </w:t>
            </w:r>
            <w:r>
              <w:rPr>
                <w:rFonts w:cs="Arial"/>
                <w:lang w:val="en-AU"/>
              </w:rPr>
              <w:t>for the issue of</w:t>
            </w:r>
            <w:r w:rsidRPr="007E7041">
              <w:rPr>
                <w:rFonts w:cs="Arial"/>
                <w:lang w:val="en-AU"/>
              </w:rPr>
              <w:t xml:space="preserve"> the securities was agreed</w:t>
            </w:r>
            <w:r>
              <w:rPr>
                <w:rFonts w:cs="Arial"/>
                <w:lang w:val="en-AU"/>
              </w:rPr>
              <w:t>, state:</w:t>
            </w:r>
          </w:p>
          <w:p w14:paraId="776AEFE8" w14:textId="351C8BFF" w:rsidR="00A7293D" w:rsidRDefault="00A7293D" w:rsidP="00A7293D">
            <w:pPr>
              <w:numPr>
                <w:ilvl w:val="0"/>
                <w:numId w:val="2"/>
              </w:numPr>
              <w:overflowPunct/>
              <w:autoSpaceDE/>
              <w:autoSpaceDN/>
              <w:adjustRightInd/>
              <w:spacing w:after="120"/>
              <w:ind w:left="284" w:hanging="284"/>
              <w:textAlignment w:val="auto"/>
              <w:outlineLvl w:val="2"/>
              <w:rPr>
                <w:rFonts w:cs="Arial"/>
                <w:lang w:val="en-AU"/>
              </w:rPr>
            </w:pPr>
            <w:r w:rsidRPr="007E7041">
              <w:rPr>
                <w:rFonts w:cs="Arial"/>
                <w:lang w:val="en-AU"/>
              </w:rPr>
              <w:t xml:space="preserve">the date on which the securities </w:t>
            </w:r>
            <w:r>
              <w:rPr>
                <w:rFonts w:cs="Arial"/>
                <w:lang w:val="en-AU"/>
              </w:rPr>
              <w:t>were issued (the issue date);</w:t>
            </w:r>
          </w:p>
          <w:p w14:paraId="5C828BDE" w14:textId="09CA9D0B" w:rsidR="00A7293D" w:rsidRDefault="00A7293D" w:rsidP="00A7293D">
            <w:pPr>
              <w:numPr>
                <w:ilvl w:val="0"/>
                <w:numId w:val="2"/>
              </w:numPr>
              <w:overflowPunct/>
              <w:autoSpaceDE/>
              <w:autoSpaceDN/>
              <w:adjustRightInd/>
              <w:spacing w:after="120"/>
              <w:ind w:left="284" w:hanging="284"/>
              <w:textAlignment w:val="auto"/>
              <w:outlineLvl w:val="2"/>
              <w:rPr>
                <w:rFonts w:cs="Arial"/>
                <w:lang w:val="en-AU"/>
              </w:rPr>
            </w:pPr>
            <w:r>
              <w:rPr>
                <w:rFonts w:cs="Arial"/>
                <w:lang w:val="en-AU"/>
              </w:rPr>
              <w:t xml:space="preserve">the period covered by the </w:t>
            </w:r>
            <w:r w:rsidRPr="007E7041">
              <w:rPr>
                <w:rFonts w:cs="Arial"/>
                <w:lang w:val="en-AU"/>
              </w:rPr>
              <w:t>15 trading days on which trades in that class were recorded immediately before</w:t>
            </w:r>
            <w:r>
              <w:rPr>
                <w:rFonts w:cs="Arial"/>
                <w:lang w:val="en-AU"/>
              </w:rPr>
              <w:t xml:space="preserve"> the issue date; and</w:t>
            </w:r>
          </w:p>
          <w:p w14:paraId="0682475E" w14:textId="37B93634" w:rsidR="007E7041" w:rsidRPr="00A7293D" w:rsidRDefault="00A7293D" w:rsidP="00A7293D">
            <w:pPr>
              <w:numPr>
                <w:ilvl w:val="0"/>
                <w:numId w:val="2"/>
              </w:numPr>
              <w:overflowPunct/>
              <w:autoSpaceDE/>
              <w:autoSpaceDN/>
              <w:adjustRightInd/>
              <w:spacing w:after="120"/>
              <w:ind w:left="284" w:hanging="284"/>
              <w:textAlignment w:val="auto"/>
              <w:outlineLvl w:val="2"/>
              <w:rPr>
                <w:rFonts w:cs="Arial"/>
                <w:lang w:val="en-AU"/>
              </w:rPr>
            </w:pPr>
            <w:r>
              <w:rPr>
                <w:rFonts w:cs="Arial"/>
                <w:lang w:val="en-AU"/>
              </w:rPr>
              <w:t xml:space="preserve">the </w:t>
            </w:r>
            <w:r w:rsidRPr="007E7041">
              <w:rPr>
                <w:rFonts w:cs="Arial"/>
                <w:lang w:val="en-AU"/>
              </w:rPr>
              <w:t>volume weighted average price (‘VWAP’) for securities in th</w:t>
            </w:r>
            <w:r>
              <w:rPr>
                <w:rFonts w:cs="Arial"/>
                <w:lang w:val="en-AU"/>
              </w:rPr>
              <w:t>e relevant class over that period</w:t>
            </w:r>
          </w:p>
        </w:tc>
        <w:tc>
          <w:tcPr>
            <w:tcW w:w="4589" w:type="dxa"/>
            <w:shd w:val="clear" w:color="auto" w:fill="auto"/>
          </w:tcPr>
          <w:p w14:paraId="4EF8A28F" w14:textId="77777777" w:rsidR="007E7041" w:rsidRPr="003F41DA" w:rsidRDefault="007E7041" w:rsidP="007E7041">
            <w:pPr>
              <w:spacing w:before="120" w:after="120"/>
              <w:rPr>
                <w:rFonts w:cs="Arial"/>
                <w:lang w:val="en-AU"/>
              </w:rPr>
            </w:pPr>
          </w:p>
        </w:tc>
      </w:tr>
      <w:tr w:rsidR="007E7041" w:rsidRPr="00953F21" w14:paraId="51EE801B" w14:textId="77777777" w:rsidTr="00BE6213">
        <w:trPr>
          <w:cantSplit/>
        </w:trPr>
        <w:tc>
          <w:tcPr>
            <w:tcW w:w="4483" w:type="dxa"/>
            <w:shd w:val="clear" w:color="auto" w:fill="auto"/>
          </w:tcPr>
          <w:p w14:paraId="7F444E29" w14:textId="674FCAEA" w:rsidR="007E7041" w:rsidRPr="007E7041" w:rsidRDefault="007E7041" w:rsidP="007E7041">
            <w:pPr>
              <w:spacing w:before="120" w:after="120"/>
              <w:ind w:left="0" w:firstLine="0"/>
              <w:rPr>
                <w:rFonts w:cs="Arial"/>
              </w:rPr>
            </w:pPr>
            <w:r w:rsidRPr="007E7041">
              <w:rPr>
                <w:rFonts w:cs="Arial"/>
                <w:lang w:val="en-AU"/>
              </w:rPr>
              <w:t>Who was the source of the VWAP calculation referred to above</w:t>
            </w:r>
          </w:p>
        </w:tc>
        <w:tc>
          <w:tcPr>
            <w:tcW w:w="4589" w:type="dxa"/>
            <w:shd w:val="clear" w:color="auto" w:fill="auto"/>
          </w:tcPr>
          <w:p w14:paraId="7A776870" w14:textId="77777777" w:rsidR="007E7041" w:rsidRPr="003F41DA" w:rsidRDefault="007E7041" w:rsidP="007E7041">
            <w:pPr>
              <w:spacing w:before="120" w:after="120"/>
              <w:rPr>
                <w:rFonts w:cs="Arial"/>
                <w:lang w:val="en-AU"/>
              </w:rPr>
            </w:pPr>
          </w:p>
        </w:tc>
      </w:tr>
      <w:tr w:rsidR="007E7041" w:rsidRPr="00953F21" w14:paraId="78746C85" w14:textId="77777777" w:rsidTr="00BE6213">
        <w:trPr>
          <w:cantSplit/>
        </w:trPr>
        <w:tc>
          <w:tcPr>
            <w:tcW w:w="4483" w:type="dxa"/>
            <w:shd w:val="clear" w:color="auto" w:fill="auto"/>
          </w:tcPr>
          <w:p w14:paraId="45B5698B" w14:textId="7B285888" w:rsidR="007E7041" w:rsidRPr="007E7041" w:rsidRDefault="007E7041" w:rsidP="007E7041">
            <w:pPr>
              <w:spacing w:before="120" w:after="120"/>
              <w:ind w:left="0" w:firstLine="0"/>
              <w:rPr>
                <w:rFonts w:cs="Arial"/>
              </w:rPr>
            </w:pPr>
            <w:r w:rsidRPr="007E7041">
              <w:rPr>
                <w:rFonts w:cs="Arial"/>
                <w:lang w:val="en-AU"/>
              </w:rPr>
              <w:t>Confirm the securities have been or are being issued for a cash consideration only</w:t>
            </w:r>
          </w:p>
        </w:tc>
        <w:tc>
          <w:tcPr>
            <w:tcW w:w="4589" w:type="dxa"/>
            <w:shd w:val="clear" w:color="auto" w:fill="auto"/>
          </w:tcPr>
          <w:p w14:paraId="5B9EDC40" w14:textId="77777777" w:rsidR="007E7041" w:rsidRPr="003F41DA" w:rsidRDefault="007E7041" w:rsidP="007E7041">
            <w:pPr>
              <w:spacing w:before="120" w:after="120"/>
              <w:rPr>
                <w:rFonts w:cs="Arial"/>
                <w:lang w:val="en-AU"/>
              </w:rPr>
            </w:pPr>
          </w:p>
        </w:tc>
      </w:tr>
      <w:tr w:rsidR="007E7041" w:rsidRPr="00953F21" w14:paraId="0E8A8ED3" w14:textId="77777777" w:rsidTr="00BE6213">
        <w:trPr>
          <w:cantSplit/>
        </w:trPr>
        <w:tc>
          <w:tcPr>
            <w:tcW w:w="4483" w:type="dxa"/>
            <w:shd w:val="clear" w:color="auto" w:fill="auto"/>
          </w:tcPr>
          <w:p w14:paraId="25743263" w14:textId="55D95E54" w:rsidR="007E7041" w:rsidRPr="007E7041" w:rsidRDefault="007E7041" w:rsidP="007E7041">
            <w:pPr>
              <w:spacing w:before="120" w:after="120"/>
              <w:ind w:left="0" w:firstLine="0"/>
              <w:rPr>
                <w:rFonts w:cs="Arial"/>
              </w:rPr>
            </w:pPr>
            <w:r w:rsidRPr="007E7041">
              <w:rPr>
                <w:rFonts w:cs="Arial"/>
                <w:lang w:val="en-AU"/>
              </w:rPr>
              <w:t>State the cash consideration per security issued or being issued</w:t>
            </w:r>
          </w:p>
        </w:tc>
        <w:tc>
          <w:tcPr>
            <w:tcW w:w="4589" w:type="dxa"/>
            <w:shd w:val="clear" w:color="auto" w:fill="auto"/>
          </w:tcPr>
          <w:p w14:paraId="75BDD468" w14:textId="77777777" w:rsidR="007E7041" w:rsidRPr="003F41DA" w:rsidRDefault="007E7041" w:rsidP="007E7041">
            <w:pPr>
              <w:spacing w:before="120" w:after="120"/>
              <w:rPr>
                <w:rFonts w:cs="Arial"/>
                <w:lang w:val="en-AU"/>
              </w:rPr>
            </w:pPr>
          </w:p>
        </w:tc>
      </w:tr>
      <w:tr w:rsidR="007E7041" w:rsidRPr="00953F21" w14:paraId="1305433E" w14:textId="77777777" w:rsidTr="00BE6213">
        <w:trPr>
          <w:cantSplit/>
        </w:trPr>
        <w:tc>
          <w:tcPr>
            <w:tcW w:w="4483" w:type="dxa"/>
            <w:shd w:val="clear" w:color="auto" w:fill="auto"/>
          </w:tcPr>
          <w:p w14:paraId="7495DDA3" w14:textId="23E12E69" w:rsidR="007E7041" w:rsidRPr="007E7041" w:rsidRDefault="007E7041" w:rsidP="00B13E03">
            <w:pPr>
              <w:spacing w:before="120" w:after="120"/>
              <w:ind w:left="0" w:firstLine="0"/>
              <w:rPr>
                <w:rFonts w:cs="Arial"/>
              </w:rPr>
            </w:pPr>
            <w:r w:rsidRPr="007E7041">
              <w:rPr>
                <w:rFonts w:cs="Arial"/>
                <w:lang w:val="en-AU"/>
              </w:rPr>
              <w:lastRenderedPageBreak/>
              <w:t xml:space="preserve">Confirm that the cash consideration per security issued or being issued is not less than 75% of the VWAP figure </w:t>
            </w:r>
            <w:r w:rsidR="00B13E03">
              <w:rPr>
                <w:rFonts w:cs="Arial"/>
                <w:lang w:val="en-AU"/>
              </w:rPr>
              <w:t>provided</w:t>
            </w:r>
            <w:r w:rsidRPr="007E7041">
              <w:rPr>
                <w:rFonts w:cs="Arial"/>
                <w:lang w:val="en-AU"/>
              </w:rPr>
              <w:t xml:space="preserve"> above</w:t>
            </w:r>
          </w:p>
        </w:tc>
        <w:tc>
          <w:tcPr>
            <w:tcW w:w="4589" w:type="dxa"/>
            <w:shd w:val="clear" w:color="auto" w:fill="auto"/>
          </w:tcPr>
          <w:p w14:paraId="34649DC4" w14:textId="77777777" w:rsidR="007E7041" w:rsidRPr="003F41DA" w:rsidRDefault="007E7041" w:rsidP="007E7041">
            <w:pPr>
              <w:spacing w:before="120" w:after="120"/>
              <w:rPr>
                <w:rFonts w:cs="Arial"/>
                <w:lang w:val="en-AU"/>
              </w:rPr>
            </w:pPr>
          </w:p>
        </w:tc>
      </w:tr>
      <w:tr w:rsidR="000C53BB" w:rsidRPr="00876567" w14:paraId="11CB0113" w14:textId="77777777" w:rsidTr="00BE6213">
        <w:trPr>
          <w:cantSplit/>
        </w:trPr>
        <w:tc>
          <w:tcPr>
            <w:tcW w:w="9072" w:type="dxa"/>
            <w:gridSpan w:val="2"/>
            <w:shd w:val="clear" w:color="auto" w:fill="FFFF00"/>
          </w:tcPr>
          <w:p w14:paraId="1AC4FA82" w14:textId="4796153D" w:rsidR="000C53BB" w:rsidRPr="00876567" w:rsidRDefault="000C53BB" w:rsidP="00B6219C">
            <w:pPr>
              <w:keepNext/>
              <w:spacing w:before="120" w:after="120"/>
              <w:ind w:left="0" w:firstLine="0"/>
              <w:rPr>
                <w:rFonts w:cs="Arial"/>
                <w:b/>
                <w:i/>
                <w:sz w:val="24"/>
                <w:szCs w:val="24"/>
              </w:rPr>
            </w:pPr>
            <w:r w:rsidRPr="00876567">
              <w:rPr>
                <w:rFonts w:cs="Arial"/>
                <w:b/>
                <w:i/>
                <w:sz w:val="24"/>
                <w:szCs w:val="24"/>
              </w:rPr>
              <w:t xml:space="preserve">Step </w:t>
            </w:r>
            <w:r w:rsidR="00FD5EC3">
              <w:rPr>
                <w:rFonts w:cs="Arial"/>
                <w:b/>
                <w:i/>
                <w:sz w:val="24"/>
                <w:szCs w:val="24"/>
              </w:rPr>
              <w:t>2</w:t>
            </w:r>
            <w:r w:rsidRPr="00876567">
              <w:rPr>
                <w:rFonts w:cs="Arial"/>
                <w:b/>
                <w:i/>
                <w:sz w:val="24"/>
                <w:szCs w:val="24"/>
              </w:rPr>
              <w:t xml:space="preserve">: </w:t>
            </w:r>
            <w:r w:rsidR="00B95E47">
              <w:rPr>
                <w:rFonts w:cs="Arial"/>
                <w:b/>
                <w:i/>
                <w:sz w:val="24"/>
                <w:szCs w:val="24"/>
              </w:rPr>
              <w:t>c</w:t>
            </w:r>
            <w:r w:rsidR="00FA73AD" w:rsidRPr="00876567">
              <w:rPr>
                <w:rFonts w:cs="Arial"/>
                <w:b/>
                <w:i/>
                <w:sz w:val="24"/>
                <w:szCs w:val="24"/>
              </w:rPr>
              <w:t>alculate</w:t>
            </w:r>
            <w:r w:rsidR="00FA73AD">
              <w:rPr>
                <w:rFonts w:cs="Arial"/>
                <w:b/>
                <w:i/>
                <w:sz w:val="24"/>
                <w:szCs w:val="24"/>
              </w:rPr>
              <w:t xml:space="preserve"> </w:t>
            </w:r>
            <w:r w:rsidR="00413F9B">
              <w:rPr>
                <w:rFonts w:cs="Arial"/>
                <w:b/>
                <w:i/>
                <w:sz w:val="24"/>
                <w:szCs w:val="24"/>
              </w:rPr>
              <w:t>“A” in rule 7.1A.2</w:t>
            </w:r>
          </w:p>
        </w:tc>
      </w:tr>
      <w:tr w:rsidR="00BD47FB" w:rsidRPr="00876567" w14:paraId="57D6B4F3" w14:textId="77777777" w:rsidTr="00BE6213">
        <w:trPr>
          <w:cantSplit/>
        </w:trPr>
        <w:tc>
          <w:tcPr>
            <w:tcW w:w="4483" w:type="dxa"/>
            <w:shd w:val="clear" w:color="auto" w:fill="auto"/>
          </w:tcPr>
          <w:p w14:paraId="106452C4" w14:textId="2FF8C27F" w:rsidR="00BD47FB" w:rsidRPr="00BD47FB" w:rsidRDefault="00BD47FB" w:rsidP="00BD47FB">
            <w:pPr>
              <w:spacing w:before="120" w:after="120"/>
              <w:ind w:left="0" w:firstLine="0"/>
              <w:rPr>
                <w:rFonts w:cs="Arial"/>
              </w:rPr>
            </w:pPr>
            <w:r w:rsidRPr="00BD47FB">
              <w:rPr>
                <w:rFonts w:cs="Arial"/>
              </w:rPr>
              <w:t>Date of issue or agreement to issue securities</w:t>
            </w:r>
          </w:p>
        </w:tc>
        <w:tc>
          <w:tcPr>
            <w:tcW w:w="4589" w:type="dxa"/>
            <w:shd w:val="clear" w:color="auto" w:fill="auto"/>
          </w:tcPr>
          <w:p w14:paraId="73C7ECDC" w14:textId="77777777" w:rsidR="00BD47FB" w:rsidRPr="007C4E77" w:rsidRDefault="00BD47FB" w:rsidP="00413F9B">
            <w:pPr>
              <w:spacing w:before="120" w:after="120"/>
              <w:ind w:left="0" w:firstLine="0"/>
              <w:rPr>
                <w:rFonts w:cs="Arial"/>
              </w:rPr>
            </w:pPr>
          </w:p>
        </w:tc>
      </w:tr>
      <w:tr w:rsidR="00B13E03" w:rsidRPr="00876567" w14:paraId="4DE8F0B0" w14:textId="77777777" w:rsidTr="00BE6213">
        <w:trPr>
          <w:cantSplit/>
        </w:trPr>
        <w:tc>
          <w:tcPr>
            <w:tcW w:w="4483" w:type="dxa"/>
            <w:shd w:val="clear" w:color="auto" w:fill="auto"/>
          </w:tcPr>
          <w:p w14:paraId="48B3A8AE" w14:textId="77777777" w:rsidR="00B13E03" w:rsidRPr="00B13E03" w:rsidRDefault="00B13E03" w:rsidP="00B13E03">
            <w:pPr>
              <w:spacing w:before="120" w:after="120"/>
              <w:ind w:left="0" w:firstLine="0"/>
              <w:rPr>
                <w:rFonts w:cs="Arial"/>
              </w:rPr>
            </w:pPr>
            <w:r w:rsidRPr="00B13E03">
              <w:rPr>
                <w:rFonts w:cs="Arial"/>
              </w:rPr>
              <w:t>The “relevant period” as defined in rule 7.1</w:t>
            </w:r>
          </w:p>
          <w:p w14:paraId="1ED4BC83" w14:textId="2F5AEE75" w:rsidR="00B13E03" w:rsidRPr="00B13E03" w:rsidRDefault="00B13E03" w:rsidP="00B13E03">
            <w:pPr>
              <w:spacing w:after="120"/>
              <w:ind w:left="0" w:firstLine="0"/>
              <w:rPr>
                <w:rFonts w:cs="Arial"/>
                <w:i/>
              </w:rPr>
            </w:pPr>
            <w:r w:rsidRPr="00B13E03">
              <w:rPr>
                <w:rFonts w:cs="Arial"/>
                <w:sz w:val="18"/>
                <w:szCs w:val="18"/>
              </w:rPr>
              <w:t>Note: if the entity has been admitted to the official list for 12 months or more, this will be the 12 month period immediately preceding the date of the issue or agreement referred to in the previous cell; if the entity has been admitted to the official list for less than 12 months, this will be the period from the date the entity was admitted to the official list to the date immediately preceding the date of the issue or agreement).</w:t>
            </w:r>
          </w:p>
        </w:tc>
        <w:tc>
          <w:tcPr>
            <w:tcW w:w="4589" w:type="dxa"/>
            <w:shd w:val="clear" w:color="auto" w:fill="auto"/>
          </w:tcPr>
          <w:p w14:paraId="6250B97E" w14:textId="77777777" w:rsidR="00B13E03" w:rsidRPr="007C4E77" w:rsidRDefault="00B13E03" w:rsidP="00413F9B">
            <w:pPr>
              <w:spacing w:before="120" w:after="120"/>
              <w:ind w:left="0" w:firstLine="0"/>
              <w:rPr>
                <w:rFonts w:cs="Arial"/>
              </w:rPr>
            </w:pPr>
          </w:p>
        </w:tc>
      </w:tr>
      <w:tr w:rsidR="00413F9B" w:rsidRPr="00876567" w14:paraId="3C32163F" w14:textId="77777777" w:rsidTr="00BE6213">
        <w:trPr>
          <w:cantSplit/>
        </w:trPr>
        <w:tc>
          <w:tcPr>
            <w:tcW w:w="4483" w:type="dxa"/>
            <w:shd w:val="clear" w:color="auto" w:fill="auto"/>
          </w:tcPr>
          <w:p w14:paraId="069C7677" w14:textId="347E10DE" w:rsidR="00413F9B" w:rsidRDefault="00413F9B" w:rsidP="00B13E03">
            <w:pPr>
              <w:spacing w:before="120" w:after="120"/>
              <w:ind w:left="0" w:firstLine="0"/>
              <w:rPr>
                <w:rFonts w:cs="Arial"/>
                <w:b/>
                <w:i/>
              </w:rPr>
            </w:pPr>
            <w:r>
              <w:rPr>
                <w:rFonts w:cs="Arial"/>
                <w:b/>
                <w:i/>
              </w:rPr>
              <w:t>A1:</w:t>
            </w:r>
            <w:r w:rsidRPr="00876567">
              <w:rPr>
                <w:rFonts w:cs="Arial"/>
              </w:rPr>
              <w:t xml:space="preserve"> </w:t>
            </w:r>
            <w:r>
              <w:rPr>
                <w:rFonts w:cs="Arial"/>
              </w:rPr>
              <w:t>total n</w:t>
            </w:r>
            <w:r w:rsidRPr="00876567">
              <w:rPr>
                <w:rFonts w:cs="Arial"/>
              </w:rPr>
              <w:t xml:space="preserve">umber of </w:t>
            </w:r>
            <w:r w:rsidRPr="006E58E9">
              <w:rPr>
                <w:rFonts w:cs="Arial"/>
                <w:b/>
              </w:rPr>
              <w:t>fully paid ordinary securities</w:t>
            </w:r>
            <w:r w:rsidRPr="00876567">
              <w:rPr>
                <w:rFonts w:cs="Arial"/>
              </w:rPr>
              <w:t xml:space="preserve"> on issue </w:t>
            </w:r>
            <w:r w:rsidR="00B13E03">
              <w:rPr>
                <w:rFonts w:cs="Arial"/>
              </w:rPr>
              <w:t xml:space="preserve">at the commencement of </w:t>
            </w:r>
            <w:r w:rsidR="00B13E03" w:rsidRPr="00DC4384">
              <w:rPr>
                <w:rFonts w:cs="Arial"/>
              </w:rPr>
              <w:t>the relevant period</w:t>
            </w:r>
          </w:p>
        </w:tc>
        <w:tc>
          <w:tcPr>
            <w:tcW w:w="4589" w:type="dxa"/>
            <w:shd w:val="clear" w:color="auto" w:fill="auto"/>
          </w:tcPr>
          <w:p w14:paraId="3B796C07" w14:textId="77777777" w:rsidR="00413F9B" w:rsidRPr="007C4E77" w:rsidRDefault="00413F9B" w:rsidP="00413F9B">
            <w:pPr>
              <w:spacing w:before="120" w:after="120"/>
              <w:ind w:left="0" w:firstLine="0"/>
              <w:rPr>
                <w:rFonts w:cs="Arial"/>
              </w:rPr>
            </w:pPr>
          </w:p>
        </w:tc>
      </w:tr>
      <w:tr w:rsidR="00043317" w:rsidRPr="00876567" w14:paraId="5BE9D739" w14:textId="77777777" w:rsidTr="00BE6213">
        <w:trPr>
          <w:cantSplit/>
        </w:trPr>
        <w:tc>
          <w:tcPr>
            <w:tcW w:w="4483" w:type="dxa"/>
            <w:shd w:val="clear" w:color="auto" w:fill="auto"/>
          </w:tcPr>
          <w:p w14:paraId="5222FC1E" w14:textId="404A092C" w:rsidR="00043317" w:rsidRDefault="00043317" w:rsidP="00994410">
            <w:pPr>
              <w:spacing w:before="120" w:after="120"/>
              <w:ind w:left="0" w:firstLine="0"/>
              <w:rPr>
                <w:rFonts w:cs="Arial"/>
                <w:b/>
                <w:i/>
              </w:rPr>
            </w:pPr>
            <w:r>
              <w:rPr>
                <w:rFonts w:cs="Arial"/>
                <w:b/>
                <w:i/>
              </w:rPr>
              <w:t xml:space="preserve">A2: </w:t>
            </w:r>
            <w:r>
              <w:rPr>
                <w:rFonts w:cs="Arial"/>
              </w:rPr>
              <w:t>n</w:t>
            </w:r>
            <w:r w:rsidRPr="00876567">
              <w:rPr>
                <w:rFonts w:cs="Arial"/>
              </w:rPr>
              <w:t xml:space="preserve">umber of </w:t>
            </w:r>
            <w:r w:rsidRPr="006E58E9">
              <w:rPr>
                <w:rFonts w:cs="Arial"/>
                <w:b/>
              </w:rPr>
              <w:t>fully paid ordinary securities</w:t>
            </w:r>
            <w:r>
              <w:rPr>
                <w:rFonts w:cs="Arial"/>
              </w:rPr>
              <w:t xml:space="preserve"> issued in </w:t>
            </w:r>
            <w:r w:rsidRPr="00DC4384">
              <w:rPr>
                <w:rFonts w:cs="Arial"/>
              </w:rPr>
              <w:t xml:space="preserve">the relevant period </w:t>
            </w:r>
            <w:r w:rsidRPr="00876567">
              <w:rPr>
                <w:rFonts w:cs="Arial"/>
              </w:rPr>
              <w:t>under an exception in rule</w:t>
            </w:r>
            <w:r>
              <w:rPr>
                <w:rFonts w:cs="Arial"/>
              </w:rPr>
              <w:t> </w:t>
            </w:r>
            <w:r w:rsidRPr="00876567">
              <w:rPr>
                <w:rFonts w:cs="Arial"/>
              </w:rPr>
              <w:t>7.2</w:t>
            </w:r>
            <w:r w:rsidR="00674824">
              <w:rPr>
                <w:rFonts w:cs="Arial"/>
              </w:rPr>
              <w:t xml:space="preserve"> other than exception 9</w:t>
            </w:r>
            <w:r w:rsidR="00994410">
              <w:rPr>
                <w:rFonts w:cs="Arial"/>
              </w:rPr>
              <w:t>,</w:t>
            </w:r>
            <w:r w:rsidR="006D6F96">
              <w:rPr>
                <w:rFonts w:cs="Arial"/>
              </w:rPr>
              <w:t xml:space="preserve"> </w:t>
            </w:r>
            <w:r w:rsidRPr="00055DBA">
              <w:rPr>
                <w:rFonts w:cs="Arial"/>
              </w:rPr>
              <w:t>1</w:t>
            </w:r>
            <w:r w:rsidR="00674824">
              <w:rPr>
                <w:rFonts w:cs="Arial"/>
              </w:rPr>
              <w:t>6</w:t>
            </w:r>
            <w:r w:rsidR="00994410">
              <w:rPr>
                <w:rFonts w:cs="Arial"/>
              </w:rPr>
              <w:t xml:space="preserve"> or 17</w:t>
            </w:r>
          </w:p>
        </w:tc>
        <w:tc>
          <w:tcPr>
            <w:tcW w:w="4589" w:type="dxa"/>
            <w:shd w:val="clear" w:color="auto" w:fill="auto"/>
          </w:tcPr>
          <w:p w14:paraId="232EF7EC" w14:textId="77777777" w:rsidR="00043317" w:rsidRPr="007C4E77" w:rsidRDefault="00043317" w:rsidP="00043317">
            <w:pPr>
              <w:spacing w:before="120" w:after="120"/>
              <w:ind w:left="0" w:firstLine="0"/>
              <w:rPr>
                <w:rFonts w:cs="Arial"/>
              </w:rPr>
            </w:pPr>
          </w:p>
        </w:tc>
      </w:tr>
      <w:tr w:rsidR="006D6F96" w:rsidRPr="00876567" w14:paraId="2525C2A9" w14:textId="77777777" w:rsidTr="00BE6213">
        <w:trPr>
          <w:cantSplit/>
        </w:trPr>
        <w:tc>
          <w:tcPr>
            <w:tcW w:w="4483" w:type="dxa"/>
            <w:shd w:val="clear" w:color="auto" w:fill="auto"/>
          </w:tcPr>
          <w:p w14:paraId="456269ED" w14:textId="2F30B331" w:rsidR="006D6F96" w:rsidRPr="006D6F96" w:rsidRDefault="006D6F96" w:rsidP="004B0A90">
            <w:pPr>
              <w:spacing w:before="120" w:after="120"/>
              <w:ind w:left="0" w:firstLine="0"/>
              <w:rPr>
                <w:rFonts w:cs="Arial"/>
                <w:b/>
                <w:i/>
              </w:rPr>
            </w:pPr>
            <w:r w:rsidRPr="006D6F96">
              <w:rPr>
                <w:rFonts w:cs="Arial"/>
                <w:b/>
                <w:i/>
              </w:rPr>
              <w:t>A3:</w:t>
            </w:r>
            <w:r w:rsidRPr="006D6F96">
              <w:rPr>
                <w:rFonts w:cs="Arial"/>
              </w:rPr>
              <w:t xml:space="preserve"> number of </w:t>
            </w:r>
            <w:r w:rsidRPr="006D6F96">
              <w:rPr>
                <w:rFonts w:cs="Arial"/>
                <w:b/>
              </w:rPr>
              <w:t>fully paid ordinary securities</w:t>
            </w:r>
            <w:r w:rsidRPr="006D6F96">
              <w:rPr>
                <w:rFonts w:cs="Arial"/>
              </w:rPr>
              <w:t xml:space="preserve"> issued in the relevant period on the conversion of convertible securi</w:t>
            </w:r>
            <w:r w:rsidR="00674824">
              <w:rPr>
                <w:rFonts w:cs="Arial"/>
              </w:rPr>
              <w:t>ties within rule 7.2 exception 9</w:t>
            </w:r>
            <w:r w:rsidRPr="006D6F96">
              <w:rPr>
                <w:rFonts w:cs="Arial"/>
              </w:rPr>
              <w:t xml:space="preserve"> where</w:t>
            </w:r>
            <w:r w:rsidR="004B0A90">
              <w:rPr>
                <w:rFonts w:cs="Arial"/>
                <w:lang w:val="en-AU"/>
              </w:rPr>
              <w:t>:</w:t>
            </w:r>
            <w:r w:rsidR="004B0A90" w:rsidRPr="005F2C75">
              <w:rPr>
                <w:rFonts w:cs="Arial"/>
                <w:lang w:val="en-AU"/>
              </w:rPr>
              <w:t xml:space="preserve"> </w:t>
            </w:r>
            <w:r w:rsidR="004B0A90">
              <w:rPr>
                <w:rFonts w:cs="Arial"/>
                <w:lang w:val="en-AU"/>
              </w:rPr>
              <w:t>(a) </w:t>
            </w:r>
            <w:r w:rsidR="004B0A90" w:rsidRPr="005F2C75">
              <w:rPr>
                <w:rFonts w:cs="Arial"/>
                <w:lang w:val="en-AU"/>
              </w:rPr>
              <w:t xml:space="preserve">the convertible securities </w:t>
            </w:r>
            <w:r w:rsidR="004B0A90">
              <w:rPr>
                <w:rFonts w:cs="Arial"/>
                <w:lang w:val="en-AU"/>
              </w:rPr>
              <w:t xml:space="preserve">were issued or agreed to be issued </w:t>
            </w:r>
            <w:r w:rsidR="004B0A90" w:rsidRPr="00B8455C">
              <w:rPr>
                <w:rFonts w:cs="Arial"/>
                <w:lang w:val="en-AU"/>
              </w:rPr>
              <w:t>before the commencement of the relevant period</w:t>
            </w:r>
            <w:r w:rsidR="004B0A90">
              <w:rPr>
                <w:rFonts w:cs="Arial"/>
                <w:lang w:val="en-AU"/>
              </w:rPr>
              <w:t>;</w:t>
            </w:r>
            <w:r w:rsidR="004B0A90" w:rsidRPr="005F2C75">
              <w:rPr>
                <w:rFonts w:cs="Arial"/>
                <w:lang w:val="en-AU"/>
              </w:rPr>
              <w:t xml:space="preserve"> </w:t>
            </w:r>
            <w:r w:rsidR="004B0A90">
              <w:rPr>
                <w:rFonts w:cs="Arial"/>
                <w:lang w:val="en-AU"/>
              </w:rPr>
              <w:t xml:space="preserve">or (b) the issue of, or agreement to issue, the convertible securities </w:t>
            </w:r>
            <w:r w:rsidRPr="006D6F96">
              <w:rPr>
                <w:rFonts w:cs="Arial"/>
              </w:rPr>
              <w:t xml:space="preserve">was approved </w:t>
            </w:r>
            <w:r w:rsidR="00593379" w:rsidRPr="00593379">
              <w:rPr>
                <w:rFonts w:cs="Arial"/>
              </w:rPr>
              <w:t xml:space="preserve">or taken to be approved </w:t>
            </w:r>
            <w:r w:rsidRPr="006D6F96">
              <w:rPr>
                <w:rFonts w:cs="Arial"/>
              </w:rPr>
              <w:t>under rule 7.1 or 7.4</w:t>
            </w:r>
          </w:p>
        </w:tc>
        <w:tc>
          <w:tcPr>
            <w:tcW w:w="4589" w:type="dxa"/>
            <w:shd w:val="clear" w:color="auto" w:fill="auto"/>
          </w:tcPr>
          <w:p w14:paraId="6B869597" w14:textId="77777777" w:rsidR="006D6F96" w:rsidRPr="007C4E77" w:rsidRDefault="006D6F96" w:rsidP="006D6F96">
            <w:pPr>
              <w:spacing w:before="120" w:after="120"/>
              <w:ind w:left="0" w:firstLine="0"/>
              <w:rPr>
                <w:rFonts w:cs="Arial"/>
              </w:rPr>
            </w:pPr>
          </w:p>
        </w:tc>
      </w:tr>
      <w:tr w:rsidR="006D6F96" w:rsidRPr="00876567" w14:paraId="539EC6F0" w14:textId="77777777" w:rsidTr="00BE6213">
        <w:trPr>
          <w:cantSplit/>
        </w:trPr>
        <w:tc>
          <w:tcPr>
            <w:tcW w:w="4483" w:type="dxa"/>
            <w:shd w:val="clear" w:color="auto" w:fill="auto"/>
          </w:tcPr>
          <w:p w14:paraId="2BCA52E2" w14:textId="2852B3B6" w:rsidR="006D6F96" w:rsidRPr="006D6F96" w:rsidRDefault="006D6F96" w:rsidP="00674824">
            <w:pPr>
              <w:spacing w:before="120" w:after="120"/>
              <w:ind w:left="0" w:firstLine="0"/>
              <w:rPr>
                <w:rFonts w:cs="Arial"/>
                <w:b/>
                <w:i/>
              </w:rPr>
            </w:pPr>
            <w:r w:rsidRPr="006D6F96">
              <w:rPr>
                <w:rFonts w:cs="Arial"/>
                <w:b/>
                <w:i/>
              </w:rPr>
              <w:t>A4:</w:t>
            </w:r>
            <w:r w:rsidRPr="006D6F96">
              <w:rPr>
                <w:rFonts w:cs="Arial"/>
              </w:rPr>
              <w:t xml:space="preserve"> number of </w:t>
            </w:r>
            <w:r w:rsidRPr="006D6F96">
              <w:rPr>
                <w:rFonts w:cs="Arial"/>
                <w:b/>
              </w:rPr>
              <w:t>fully paid ordinary securities</w:t>
            </w:r>
            <w:r w:rsidRPr="006D6F96">
              <w:rPr>
                <w:rFonts w:cs="Arial"/>
              </w:rPr>
              <w:t xml:space="preserve"> issued in the relevant period under an agreement to issue securities within rule 7.2 exception 1</w:t>
            </w:r>
            <w:r w:rsidR="00674824">
              <w:rPr>
                <w:rFonts w:cs="Arial"/>
              </w:rPr>
              <w:t>6</w:t>
            </w:r>
            <w:r w:rsidRPr="006D6F96">
              <w:rPr>
                <w:rFonts w:cs="Arial"/>
              </w:rPr>
              <w:t xml:space="preserve"> </w:t>
            </w:r>
            <w:r w:rsidR="007F6CCF" w:rsidRPr="005F2C75">
              <w:rPr>
                <w:rFonts w:cs="Arial"/>
                <w:lang w:val="en-AU"/>
              </w:rPr>
              <w:t>where</w:t>
            </w:r>
            <w:r w:rsidR="007F6CCF">
              <w:rPr>
                <w:rFonts w:cs="Arial"/>
                <w:lang w:val="en-AU"/>
              </w:rPr>
              <w:t>:</w:t>
            </w:r>
            <w:r w:rsidR="007F6CCF" w:rsidRPr="005F2C75">
              <w:rPr>
                <w:rFonts w:cs="Arial"/>
                <w:lang w:val="en-AU"/>
              </w:rPr>
              <w:t xml:space="preserve"> </w:t>
            </w:r>
            <w:r w:rsidR="007F6CCF">
              <w:rPr>
                <w:rFonts w:cs="Arial"/>
                <w:lang w:val="en-AU"/>
              </w:rPr>
              <w:t>(a) </w:t>
            </w:r>
            <w:r w:rsidR="007F6CCF" w:rsidRPr="005F2C75">
              <w:rPr>
                <w:rFonts w:cs="Arial"/>
                <w:lang w:val="en-AU"/>
              </w:rPr>
              <w:t xml:space="preserve">the agreement was </w:t>
            </w:r>
            <w:r w:rsidR="007F6CCF" w:rsidRPr="00B8455C">
              <w:rPr>
                <w:rFonts w:cs="Arial"/>
                <w:lang w:val="en-AU"/>
              </w:rPr>
              <w:t>entered into before the commencement of the relevant period</w:t>
            </w:r>
            <w:r w:rsidR="007F6CCF">
              <w:rPr>
                <w:rFonts w:cs="Arial"/>
                <w:lang w:val="en-AU"/>
              </w:rPr>
              <w:t>;</w:t>
            </w:r>
            <w:r w:rsidR="007F6CCF" w:rsidRPr="00B8455C">
              <w:rPr>
                <w:rFonts w:cs="Arial"/>
                <w:lang w:val="en-AU"/>
              </w:rPr>
              <w:t xml:space="preserve"> or </w:t>
            </w:r>
            <w:r w:rsidR="007F6CCF">
              <w:rPr>
                <w:rFonts w:cs="Arial"/>
                <w:lang w:val="en-AU"/>
              </w:rPr>
              <w:t xml:space="preserve">(b) the agreement or issue </w:t>
            </w:r>
            <w:r w:rsidR="007F6CCF" w:rsidRPr="00B8455C">
              <w:rPr>
                <w:rFonts w:cs="Arial"/>
                <w:lang w:val="en-AU"/>
              </w:rPr>
              <w:t>was</w:t>
            </w:r>
            <w:r w:rsidR="007F6CCF" w:rsidRPr="005F2C75">
              <w:rPr>
                <w:rFonts w:cs="Arial"/>
                <w:lang w:val="en-AU"/>
              </w:rPr>
              <w:t xml:space="preserve"> approved </w:t>
            </w:r>
            <w:r w:rsidR="007F6CCF">
              <w:rPr>
                <w:rFonts w:cs="Arial"/>
                <w:lang w:val="en-AU"/>
              </w:rPr>
              <w:t xml:space="preserve">or taken to be approved </w:t>
            </w:r>
            <w:r w:rsidR="007F6CCF" w:rsidRPr="005F2C75">
              <w:rPr>
                <w:rFonts w:cs="Arial"/>
                <w:lang w:val="en-AU"/>
              </w:rPr>
              <w:t>under rule 7.1 or 7.4</w:t>
            </w:r>
            <w:bookmarkStart w:id="0" w:name="_GoBack"/>
            <w:bookmarkEnd w:id="0"/>
          </w:p>
        </w:tc>
        <w:tc>
          <w:tcPr>
            <w:tcW w:w="4589" w:type="dxa"/>
            <w:shd w:val="clear" w:color="auto" w:fill="auto"/>
          </w:tcPr>
          <w:p w14:paraId="0BDA5FED" w14:textId="77777777" w:rsidR="006D6F96" w:rsidRPr="007C4E77" w:rsidRDefault="006D6F96" w:rsidP="006D6F96">
            <w:pPr>
              <w:spacing w:before="120" w:after="120"/>
              <w:ind w:left="0" w:firstLine="0"/>
              <w:rPr>
                <w:rFonts w:cs="Arial"/>
              </w:rPr>
            </w:pPr>
          </w:p>
        </w:tc>
      </w:tr>
      <w:tr w:rsidR="006D6F96" w:rsidRPr="00876567" w14:paraId="27C7217C" w14:textId="77777777" w:rsidTr="00BE6213">
        <w:trPr>
          <w:cantSplit/>
        </w:trPr>
        <w:tc>
          <w:tcPr>
            <w:tcW w:w="4483" w:type="dxa"/>
            <w:shd w:val="clear" w:color="auto" w:fill="auto"/>
          </w:tcPr>
          <w:p w14:paraId="77099720" w14:textId="77777777" w:rsidR="00994410" w:rsidRDefault="006D6F96" w:rsidP="00994410">
            <w:pPr>
              <w:spacing w:before="120" w:after="60"/>
              <w:ind w:left="0" w:firstLine="0"/>
              <w:rPr>
                <w:rFonts w:cs="Arial"/>
              </w:rPr>
            </w:pPr>
            <w:r w:rsidRPr="006D6F96">
              <w:rPr>
                <w:rFonts w:cs="Arial"/>
                <w:b/>
                <w:i/>
              </w:rPr>
              <w:t>A</w:t>
            </w:r>
            <w:r w:rsidR="00316A8C">
              <w:rPr>
                <w:rFonts w:cs="Arial"/>
                <w:b/>
                <w:i/>
              </w:rPr>
              <w:t>5</w:t>
            </w:r>
            <w:r w:rsidRPr="006D6F96">
              <w:rPr>
                <w:rFonts w:cs="Arial"/>
                <w:b/>
                <w:i/>
              </w:rPr>
              <w:t xml:space="preserve">: </w:t>
            </w:r>
            <w:r w:rsidRPr="006D6F96">
              <w:rPr>
                <w:rFonts w:cs="Arial"/>
              </w:rPr>
              <w:t xml:space="preserve">number of any other </w:t>
            </w:r>
            <w:r w:rsidRPr="006D6F96">
              <w:rPr>
                <w:rFonts w:cs="Arial"/>
                <w:b/>
              </w:rPr>
              <w:t>fully paid ordinary securities</w:t>
            </w:r>
            <w:r w:rsidRPr="006D6F96">
              <w:rPr>
                <w:rFonts w:cs="Arial"/>
              </w:rPr>
              <w:t xml:space="preserve"> issued in the relevant period with approval under rule 7.1 or 7.4</w:t>
            </w:r>
          </w:p>
          <w:p w14:paraId="058F17BA" w14:textId="45F795D2" w:rsidR="006D6F96" w:rsidRPr="006D6F96" w:rsidRDefault="00994410" w:rsidP="00994410">
            <w:pPr>
              <w:spacing w:after="120"/>
              <w:ind w:left="0" w:firstLine="0"/>
              <w:rPr>
                <w:rFonts w:cs="Arial"/>
                <w:b/>
                <w:i/>
              </w:rPr>
            </w:pPr>
            <w:r>
              <w:rPr>
                <w:bCs/>
                <w:sz w:val="16"/>
              </w:rPr>
              <w:t>Note: This may include fully paid ordinary securities issued in the relevant period under an agreement to issue securities within rule 7.2 exception 17 where the issue is subsequently approved under rule 7.1.</w:t>
            </w:r>
          </w:p>
        </w:tc>
        <w:tc>
          <w:tcPr>
            <w:tcW w:w="4589" w:type="dxa"/>
            <w:shd w:val="clear" w:color="auto" w:fill="auto"/>
          </w:tcPr>
          <w:p w14:paraId="5D8DE641" w14:textId="77777777" w:rsidR="006D6F96" w:rsidRPr="007C4E77" w:rsidRDefault="006D6F96" w:rsidP="006D6F96">
            <w:pPr>
              <w:spacing w:before="120" w:after="120"/>
              <w:ind w:left="0" w:firstLine="0"/>
              <w:rPr>
                <w:rFonts w:cs="Arial"/>
              </w:rPr>
            </w:pPr>
          </w:p>
        </w:tc>
      </w:tr>
      <w:tr w:rsidR="006D6F96" w:rsidRPr="00876567" w14:paraId="0A256FB1" w14:textId="77777777" w:rsidTr="00BE6213">
        <w:trPr>
          <w:cantSplit/>
        </w:trPr>
        <w:tc>
          <w:tcPr>
            <w:tcW w:w="4483" w:type="dxa"/>
            <w:shd w:val="clear" w:color="auto" w:fill="auto"/>
          </w:tcPr>
          <w:p w14:paraId="55D5B47A" w14:textId="50A37B4F" w:rsidR="006D6F96" w:rsidRPr="006D6F96" w:rsidRDefault="00316A8C" w:rsidP="006D6F96">
            <w:pPr>
              <w:spacing w:before="120" w:after="120"/>
              <w:ind w:left="0" w:firstLine="0"/>
              <w:rPr>
                <w:rFonts w:cs="Arial"/>
                <w:b/>
                <w:i/>
              </w:rPr>
            </w:pPr>
            <w:r>
              <w:rPr>
                <w:rFonts w:cs="Arial"/>
                <w:b/>
                <w:i/>
                <w:lang w:val="en-AU"/>
              </w:rPr>
              <w:t>A6</w:t>
            </w:r>
            <w:r w:rsidR="006D6F96" w:rsidRPr="006D6F96">
              <w:rPr>
                <w:rFonts w:cs="Arial"/>
                <w:b/>
                <w:i/>
                <w:lang w:val="en-AU"/>
              </w:rPr>
              <w:t xml:space="preserve">: </w:t>
            </w:r>
            <w:r w:rsidR="006D6F96" w:rsidRPr="006D6F96">
              <w:rPr>
                <w:rFonts w:cs="Arial"/>
                <w:lang w:val="en-AU"/>
              </w:rPr>
              <w:t xml:space="preserve">number of partly paid ordinary securities that </w:t>
            </w:r>
            <w:r w:rsidR="006D6F96" w:rsidRPr="006D6F96">
              <w:rPr>
                <w:rFonts w:cs="Arial"/>
                <w:b/>
                <w:lang w:val="en-AU"/>
              </w:rPr>
              <w:t>became fully paid</w:t>
            </w:r>
            <w:r w:rsidR="006D6F96" w:rsidRPr="006D6F96">
              <w:rPr>
                <w:rFonts w:cs="Arial"/>
                <w:lang w:val="en-AU"/>
              </w:rPr>
              <w:t xml:space="preserve"> </w:t>
            </w:r>
            <w:r w:rsidR="006D6F96" w:rsidRPr="006D6F96">
              <w:rPr>
                <w:rFonts w:cs="Arial"/>
                <w:b/>
                <w:lang w:val="en-AU"/>
              </w:rPr>
              <w:t>ordinary securities</w:t>
            </w:r>
            <w:r w:rsidR="006D6F96" w:rsidRPr="006D6F96">
              <w:rPr>
                <w:rFonts w:cs="Arial"/>
                <w:lang w:val="en-AU"/>
              </w:rPr>
              <w:t xml:space="preserve"> in the relevant period</w:t>
            </w:r>
          </w:p>
        </w:tc>
        <w:tc>
          <w:tcPr>
            <w:tcW w:w="4589" w:type="dxa"/>
            <w:shd w:val="clear" w:color="auto" w:fill="auto"/>
          </w:tcPr>
          <w:p w14:paraId="02797FB8" w14:textId="77777777" w:rsidR="006D6F96" w:rsidRPr="007C4E77" w:rsidRDefault="006D6F96" w:rsidP="006D6F96">
            <w:pPr>
              <w:spacing w:before="120" w:after="120"/>
              <w:ind w:left="0" w:firstLine="0"/>
              <w:rPr>
                <w:rFonts w:cs="Arial"/>
              </w:rPr>
            </w:pPr>
          </w:p>
        </w:tc>
      </w:tr>
      <w:tr w:rsidR="006D6F96" w:rsidRPr="00876567" w14:paraId="710B74A5" w14:textId="77777777" w:rsidTr="00BE6213">
        <w:trPr>
          <w:cantSplit/>
        </w:trPr>
        <w:tc>
          <w:tcPr>
            <w:tcW w:w="4483" w:type="dxa"/>
            <w:shd w:val="clear" w:color="auto" w:fill="auto"/>
          </w:tcPr>
          <w:p w14:paraId="0D01440B" w14:textId="67C81BBF" w:rsidR="006D6F96" w:rsidRPr="006D6F96" w:rsidRDefault="00316A8C" w:rsidP="006D6F96">
            <w:pPr>
              <w:spacing w:before="120" w:after="120"/>
              <w:ind w:left="0" w:firstLine="0"/>
              <w:rPr>
                <w:rFonts w:cs="Arial"/>
                <w:b/>
                <w:i/>
              </w:rPr>
            </w:pPr>
            <w:r>
              <w:rPr>
                <w:rFonts w:cs="Arial"/>
                <w:b/>
                <w:i/>
                <w:lang w:val="en-AU"/>
              </w:rPr>
              <w:t>A7</w:t>
            </w:r>
            <w:r w:rsidR="006D6F96" w:rsidRPr="006D6F96">
              <w:rPr>
                <w:rFonts w:cs="Arial"/>
                <w:b/>
                <w:i/>
                <w:lang w:val="en-AU"/>
              </w:rPr>
              <w:t>:</w:t>
            </w:r>
            <w:r w:rsidR="006D6F96" w:rsidRPr="006D6F96">
              <w:rPr>
                <w:rFonts w:cs="Arial"/>
                <w:lang w:val="en-AU"/>
              </w:rPr>
              <w:t xml:space="preserve"> number of </w:t>
            </w:r>
            <w:r w:rsidR="006D6F96" w:rsidRPr="006D6F96">
              <w:rPr>
                <w:rFonts w:cs="Arial"/>
                <w:b/>
                <w:lang w:val="en-AU"/>
              </w:rPr>
              <w:t>fully paid ordinary securities</w:t>
            </w:r>
            <w:r w:rsidR="006D6F96" w:rsidRPr="006D6F96">
              <w:rPr>
                <w:rFonts w:cs="Arial"/>
                <w:lang w:val="en-AU"/>
              </w:rPr>
              <w:t xml:space="preserve"> cancelled in the relevant period</w:t>
            </w:r>
          </w:p>
        </w:tc>
        <w:tc>
          <w:tcPr>
            <w:tcW w:w="4589" w:type="dxa"/>
            <w:shd w:val="clear" w:color="auto" w:fill="auto"/>
          </w:tcPr>
          <w:p w14:paraId="049C08D5" w14:textId="77777777" w:rsidR="006D6F96" w:rsidRPr="007C4E77" w:rsidRDefault="006D6F96" w:rsidP="006D6F96">
            <w:pPr>
              <w:spacing w:before="120" w:after="120"/>
              <w:ind w:left="0" w:firstLine="0"/>
              <w:rPr>
                <w:rFonts w:cs="Arial"/>
              </w:rPr>
            </w:pPr>
          </w:p>
        </w:tc>
      </w:tr>
      <w:tr w:rsidR="006D6F96" w:rsidRPr="00876567" w14:paraId="78B43FF9" w14:textId="77777777" w:rsidTr="00BE6213">
        <w:trPr>
          <w:cantSplit/>
        </w:trPr>
        <w:tc>
          <w:tcPr>
            <w:tcW w:w="4483" w:type="dxa"/>
            <w:shd w:val="clear" w:color="auto" w:fill="auto"/>
          </w:tcPr>
          <w:p w14:paraId="53FB01E4" w14:textId="0EEE6AC4" w:rsidR="006D6F96" w:rsidRPr="006D6F96" w:rsidRDefault="006D6F96" w:rsidP="00316A8C">
            <w:pPr>
              <w:spacing w:before="120" w:after="120"/>
              <w:ind w:left="0" w:firstLine="0"/>
              <w:rPr>
                <w:rFonts w:cs="Arial"/>
                <w:b/>
              </w:rPr>
            </w:pPr>
            <w:r w:rsidRPr="006D6F96">
              <w:rPr>
                <w:rFonts w:cs="Arial"/>
                <w:b/>
                <w:lang w:val="en-AU"/>
              </w:rPr>
              <w:t>“A” = A1 + A2 + A3 + A4 + A5 +A6 – A</w:t>
            </w:r>
            <w:r w:rsidR="00316A8C">
              <w:rPr>
                <w:rFonts w:cs="Arial"/>
                <w:b/>
                <w:lang w:val="en-AU"/>
              </w:rPr>
              <w:t>7</w:t>
            </w:r>
          </w:p>
        </w:tc>
        <w:tc>
          <w:tcPr>
            <w:tcW w:w="4589" w:type="dxa"/>
            <w:shd w:val="clear" w:color="auto" w:fill="auto"/>
          </w:tcPr>
          <w:p w14:paraId="5F847CCA" w14:textId="77777777" w:rsidR="006D6F96" w:rsidRPr="007C4E77" w:rsidRDefault="006D6F96" w:rsidP="006D6F96">
            <w:pPr>
              <w:spacing w:before="120" w:after="120"/>
              <w:ind w:left="0" w:firstLine="0"/>
              <w:rPr>
                <w:rFonts w:cs="Arial"/>
              </w:rPr>
            </w:pPr>
          </w:p>
        </w:tc>
      </w:tr>
      <w:tr w:rsidR="00413F9B" w:rsidRPr="00876567" w14:paraId="3718D205" w14:textId="77777777" w:rsidTr="00BE6213">
        <w:trPr>
          <w:cantSplit/>
        </w:trPr>
        <w:tc>
          <w:tcPr>
            <w:tcW w:w="9072" w:type="dxa"/>
            <w:gridSpan w:val="2"/>
            <w:shd w:val="clear" w:color="auto" w:fill="FFFF00"/>
          </w:tcPr>
          <w:p w14:paraId="77DB675A" w14:textId="52D116E2" w:rsidR="00413F9B" w:rsidRPr="00876567" w:rsidRDefault="00413F9B" w:rsidP="00043317">
            <w:pPr>
              <w:keepNext/>
              <w:spacing w:before="120" w:after="120"/>
              <w:ind w:left="0" w:firstLine="0"/>
              <w:rPr>
                <w:rFonts w:cs="Arial"/>
                <w:b/>
                <w:i/>
                <w:sz w:val="24"/>
                <w:szCs w:val="24"/>
              </w:rPr>
            </w:pPr>
            <w:r>
              <w:rPr>
                <w:rFonts w:cs="Arial"/>
                <w:b/>
                <w:i/>
                <w:sz w:val="24"/>
                <w:szCs w:val="24"/>
              </w:rPr>
              <w:t xml:space="preserve">Step </w:t>
            </w:r>
            <w:r w:rsidR="00FD5EC3">
              <w:rPr>
                <w:rFonts w:cs="Arial"/>
                <w:b/>
                <w:i/>
                <w:sz w:val="24"/>
                <w:szCs w:val="24"/>
              </w:rPr>
              <w:t>3</w:t>
            </w:r>
            <w:r>
              <w:rPr>
                <w:rFonts w:cs="Arial"/>
                <w:b/>
                <w:i/>
                <w:sz w:val="24"/>
                <w:szCs w:val="24"/>
              </w:rPr>
              <w:t>: c</w:t>
            </w:r>
            <w:r w:rsidRPr="00876567">
              <w:rPr>
                <w:rFonts w:cs="Arial"/>
                <w:b/>
                <w:i/>
                <w:sz w:val="24"/>
                <w:szCs w:val="24"/>
              </w:rPr>
              <w:t>alculate</w:t>
            </w:r>
            <w:r>
              <w:rPr>
                <w:rFonts w:cs="Arial"/>
                <w:b/>
                <w:i/>
                <w:sz w:val="24"/>
                <w:szCs w:val="24"/>
              </w:rPr>
              <w:t xml:space="preserve"> the aggregate rule 7.1A</w:t>
            </w:r>
            <w:r w:rsidRPr="00876567">
              <w:rPr>
                <w:rFonts w:cs="Arial"/>
                <w:b/>
                <w:i/>
                <w:sz w:val="24"/>
                <w:szCs w:val="24"/>
              </w:rPr>
              <w:t xml:space="preserve"> </w:t>
            </w:r>
            <w:r w:rsidR="004113FE">
              <w:rPr>
                <w:rFonts w:cs="Arial"/>
                <w:b/>
                <w:i/>
                <w:sz w:val="24"/>
                <w:szCs w:val="24"/>
              </w:rPr>
              <w:t>placement capacity</w:t>
            </w:r>
            <w:r>
              <w:rPr>
                <w:rFonts w:cs="Arial"/>
                <w:b/>
                <w:i/>
                <w:sz w:val="24"/>
                <w:szCs w:val="24"/>
              </w:rPr>
              <w:t xml:space="preserve"> available</w:t>
            </w:r>
          </w:p>
        </w:tc>
      </w:tr>
      <w:tr w:rsidR="00413F9B" w:rsidRPr="00876567" w14:paraId="61AC1EAD" w14:textId="77777777" w:rsidTr="00BE6213">
        <w:trPr>
          <w:cantSplit/>
        </w:trPr>
        <w:tc>
          <w:tcPr>
            <w:tcW w:w="4483" w:type="dxa"/>
            <w:shd w:val="clear" w:color="auto" w:fill="auto"/>
          </w:tcPr>
          <w:p w14:paraId="33F4F3CB" w14:textId="67262CA5" w:rsidR="00413F9B" w:rsidRPr="00B01EDC" w:rsidRDefault="00413F9B" w:rsidP="000B00C4">
            <w:pPr>
              <w:spacing w:before="120" w:after="120"/>
              <w:ind w:left="0" w:firstLine="0"/>
              <w:rPr>
                <w:rFonts w:cs="Arial"/>
                <w:i/>
              </w:rPr>
            </w:pPr>
            <w:r w:rsidRPr="00B01EDC">
              <w:rPr>
                <w:rFonts w:cs="Arial"/>
                <w:b/>
              </w:rPr>
              <w:t xml:space="preserve">Rule 7.1A capacity = A x </w:t>
            </w:r>
            <w:r w:rsidR="000B00C4">
              <w:rPr>
                <w:rFonts w:cs="Arial"/>
                <w:b/>
              </w:rPr>
              <w:t>10%</w:t>
            </w:r>
          </w:p>
        </w:tc>
        <w:tc>
          <w:tcPr>
            <w:tcW w:w="4589" w:type="dxa"/>
            <w:shd w:val="clear" w:color="auto" w:fill="auto"/>
          </w:tcPr>
          <w:p w14:paraId="5606E5D6" w14:textId="4C235CA8" w:rsidR="00413F9B" w:rsidRPr="007C4E77" w:rsidRDefault="00413F9B" w:rsidP="00413F9B">
            <w:pPr>
              <w:spacing w:before="120" w:after="120"/>
              <w:ind w:left="0" w:firstLine="0"/>
              <w:rPr>
                <w:rFonts w:cs="Arial"/>
              </w:rPr>
            </w:pPr>
          </w:p>
        </w:tc>
      </w:tr>
      <w:tr w:rsidR="00413F9B" w:rsidRPr="00876567" w14:paraId="5C252853" w14:textId="77777777" w:rsidTr="00BE6213">
        <w:trPr>
          <w:cantSplit/>
        </w:trPr>
        <w:tc>
          <w:tcPr>
            <w:tcW w:w="9072" w:type="dxa"/>
            <w:gridSpan w:val="2"/>
            <w:shd w:val="clear" w:color="auto" w:fill="FFFF00"/>
          </w:tcPr>
          <w:p w14:paraId="2C0F25AD" w14:textId="37DE2EAC" w:rsidR="00413F9B" w:rsidRPr="00876567" w:rsidRDefault="00FD5EC3" w:rsidP="00043317">
            <w:pPr>
              <w:keepNext/>
              <w:spacing w:before="120" w:after="120"/>
              <w:ind w:left="0" w:firstLine="0"/>
              <w:rPr>
                <w:rFonts w:cs="Arial"/>
                <w:b/>
                <w:i/>
                <w:sz w:val="24"/>
                <w:szCs w:val="24"/>
              </w:rPr>
            </w:pPr>
            <w:r>
              <w:rPr>
                <w:rFonts w:cs="Arial"/>
                <w:b/>
                <w:i/>
                <w:sz w:val="24"/>
                <w:szCs w:val="24"/>
              </w:rPr>
              <w:lastRenderedPageBreak/>
              <w:t>Step 4</w:t>
            </w:r>
            <w:r w:rsidR="00413F9B">
              <w:rPr>
                <w:rFonts w:cs="Arial"/>
                <w:b/>
                <w:i/>
                <w:sz w:val="24"/>
                <w:szCs w:val="24"/>
              </w:rPr>
              <w:t>: c</w:t>
            </w:r>
            <w:r w:rsidR="00413F9B" w:rsidRPr="00876567">
              <w:rPr>
                <w:rFonts w:cs="Arial"/>
                <w:b/>
                <w:i/>
                <w:sz w:val="24"/>
                <w:szCs w:val="24"/>
              </w:rPr>
              <w:t>alculate “E”</w:t>
            </w:r>
            <w:r w:rsidR="00413F9B">
              <w:rPr>
                <w:rFonts w:cs="Arial"/>
                <w:b/>
                <w:i/>
                <w:sz w:val="24"/>
                <w:szCs w:val="24"/>
              </w:rPr>
              <w:t xml:space="preserve"> in</w:t>
            </w:r>
            <w:r w:rsidR="00413F9B" w:rsidRPr="00876567">
              <w:rPr>
                <w:rFonts w:cs="Arial"/>
                <w:b/>
                <w:i/>
                <w:sz w:val="24"/>
                <w:szCs w:val="24"/>
              </w:rPr>
              <w:t xml:space="preserve"> </w:t>
            </w:r>
            <w:r w:rsidR="00413F9B">
              <w:rPr>
                <w:rFonts w:cs="Arial"/>
                <w:b/>
                <w:i/>
                <w:sz w:val="24"/>
                <w:szCs w:val="24"/>
              </w:rPr>
              <w:t>rule 7.1A.2</w:t>
            </w:r>
            <w:r w:rsidR="00413F9B" w:rsidRPr="00876567">
              <w:rPr>
                <w:rFonts w:cs="Arial"/>
                <w:b/>
                <w:i/>
                <w:sz w:val="24"/>
                <w:szCs w:val="24"/>
              </w:rPr>
              <w:t xml:space="preserve"> </w:t>
            </w:r>
            <w:r w:rsidR="00413F9B">
              <w:rPr>
                <w:rFonts w:cs="Arial"/>
                <w:b/>
                <w:i/>
                <w:sz w:val="24"/>
                <w:szCs w:val="24"/>
              </w:rPr>
              <w:t>(</w:t>
            </w:r>
            <w:r w:rsidR="004113FE">
              <w:rPr>
                <w:rFonts w:cs="Arial"/>
                <w:b/>
                <w:i/>
                <w:sz w:val="24"/>
                <w:szCs w:val="24"/>
              </w:rPr>
              <w:t>placement capacity</w:t>
            </w:r>
            <w:r w:rsidR="00413F9B" w:rsidRPr="00876567">
              <w:rPr>
                <w:rFonts w:cs="Arial"/>
                <w:b/>
                <w:i/>
                <w:sz w:val="24"/>
                <w:szCs w:val="24"/>
              </w:rPr>
              <w:t xml:space="preserve"> </w:t>
            </w:r>
            <w:r w:rsidR="00413F9B">
              <w:rPr>
                <w:rFonts w:cs="Arial"/>
                <w:b/>
                <w:i/>
                <w:sz w:val="24"/>
                <w:szCs w:val="24"/>
              </w:rPr>
              <w:t xml:space="preserve">already </w:t>
            </w:r>
            <w:r w:rsidR="00413F9B" w:rsidRPr="00876567">
              <w:rPr>
                <w:rFonts w:cs="Arial"/>
                <w:b/>
                <w:i/>
                <w:sz w:val="24"/>
                <w:szCs w:val="24"/>
              </w:rPr>
              <w:t>used</w:t>
            </w:r>
            <w:r w:rsidR="00413F9B">
              <w:rPr>
                <w:rFonts w:cs="Arial"/>
                <w:b/>
                <w:i/>
                <w:sz w:val="24"/>
                <w:szCs w:val="24"/>
              </w:rPr>
              <w:t>)</w:t>
            </w:r>
          </w:p>
        </w:tc>
      </w:tr>
      <w:tr w:rsidR="00413F9B" w:rsidRPr="00876567" w14:paraId="723B458E" w14:textId="77777777" w:rsidTr="00BE6213">
        <w:trPr>
          <w:cantSplit/>
        </w:trPr>
        <w:tc>
          <w:tcPr>
            <w:tcW w:w="4483" w:type="dxa"/>
            <w:shd w:val="clear" w:color="auto" w:fill="auto"/>
          </w:tcPr>
          <w:p w14:paraId="078698C6" w14:textId="535321C4" w:rsidR="00413F9B" w:rsidRPr="00876567" w:rsidRDefault="00413F9B" w:rsidP="00D16581">
            <w:pPr>
              <w:spacing w:before="120" w:after="120"/>
              <w:ind w:left="0" w:firstLine="0"/>
              <w:rPr>
                <w:rFonts w:cs="Arial"/>
              </w:rPr>
            </w:pPr>
            <w:r>
              <w:rPr>
                <w:rFonts w:cs="Arial"/>
                <w:b/>
                <w:i/>
              </w:rPr>
              <w:t>E1:</w:t>
            </w:r>
            <w:r w:rsidRPr="00876567">
              <w:rPr>
                <w:rFonts w:cs="Arial"/>
              </w:rPr>
              <w:t xml:space="preserve"> </w:t>
            </w:r>
            <w:r w:rsidR="00BD47FB">
              <w:rPr>
                <w:rFonts w:cs="Arial"/>
              </w:rPr>
              <w:t xml:space="preserve">total </w:t>
            </w:r>
            <w:r w:rsidRPr="00876567">
              <w:rPr>
                <w:rFonts w:cs="Arial"/>
              </w:rPr>
              <w:t xml:space="preserve">number of </w:t>
            </w:r>
            <w:r w:rsidRPr="00032F96">
              <w:rPr>
                <w:rFonts w:cs="Arial"/>
                <w:b/>
              </w:rPr>
              <w:t>equity securities</w:t>
            </w:r>
            <w:r w:rsidRPr="00876567">
              <w:rPr>
                <w:rFonts w:cs="Arial"/>
              </w:rPr>
              <w:t xml:space="preserve"> issued or agreed to be issued in </w:t>
            </w:r>
            <w:r w:rsidR="00B13E03" w:rsidRPr="00DC4384">
              <w:rPr>
                <w:rFonts w:cs="Arial"/>
              </w:rPr>
              <w:t xml:space="preserve">the relevant period </w:t>
            </w:r>
            <w:r w:rsidRPr="00876567">
              <w:rPr>
                <w:rFonts w:cs="Arial"/>
              </w:rPr>
              <w:t>under rule 7.1A</w:t>
            </w:r>
            <w:r w:rsidR="00D16581">
              <w:rPr>
                <w:rFonts w:cs="Arial"/>
              </w:rPr>
              <w:t>.2</w:t>
            </w:r>
          </w:p>
        </w:tc>
        <w:tc>
          <w:tcPr>
            <w:tcW w:w="4589" w:type="dxa"/>
            <w:shd w:val="clear" w:color="auto" w:fill="auto"/>
          </w:tcPr>
          <w:p w14:paraId="519F959B" w14:textId="77777777" w:rsidR="00413F9B" w:rsidRPr="00876567" w:rsidRDefault="00413F9B" w:rsidP="00413F9B">
            <w:pPr>
              <w:spacing w:before="120" w:after="120"/>
              <w:ind w:left="0" w:firstLine="0"/>
              <w:rPr>
                <w:rFonts w:cs="Arial"/>
              </w:rPr>
            </w:pPr>
          </w:p>
        </w:tc>
      </w:tr>
      <w:tr w:rsidR="00413F9B" w:rsidRPr="00876567" w14:paraId="0112F775" w14:textId="77777777" w:rsidTr="00BE6213">
        <w:trPr>
          <w:cantSplit/>
        </w:trPr>
        <w:tc>
          <w:tcPr>
            <w:tcW w:w="4483" w:type="dxa"/>
            <w:shd w:val="clear" w:color="auto" w:fill="auto"/>
          </w:tcPr>
          <w:p w14:paraId="3C017099" w14:textId="5FEFB310" w:rsidR="00413F9B" w:rsidRPr="00876567" w:rsidRDefault="00413F9B" w:rsidP="00E256C2">
            <w:pPr>
              <w:spacing w:before="120" w:after="120"/>
              <w:ind w:left="0" w:firstLine="0"/>
              <w:rPr>
                <w:rFonts w:cs="Arial"/>
                <w:b/>
              </w:rPr>
            </w:pPr>
            <w:r>
              <w:rPr>
                <w:rFonts w:cs="Arial"/>
                <w:b/>
                <w:i/>
              </w:rPr>
              <w:t>E2</w:t>
            </w:r>
            <w:r w:rsidRPr="00AD3751">
              <w:rPr>
                <w:rFonts w:cs="Arial"/>
                <w:b/>
                <w:i/>
              </w:rPr>
              <w:t>:</w:t>
            </w:r>
            <w:r>
              <w:rPr>
                <w:rFonts w:cs="Arial"/>
                <w:b/>
              </w:rPr>
              <w:t xml:space="preserve"> </w:t>
            </w:r>
            <w:r>
              <w:rPr>
                <w:rFonts w:cs="Arial"/>
              </w:rPr>
              <w:t>n</w:t>
            </w:r>
            <w:r w:rsidRPr="00876567">
              <w:rPr>
                <w:rFonts w:cs="Arial"/>
              </w:rPr>
              <w:t xml:space="preserve">umber of </w:t>
            </w:r>
            <w:r w:rsidRPr="008176DC">
              <w:rPr>
                <w:rFonts w:cs="Arial"/>
                <w:b/>
              </w:rPr>
              <w:t>equity securities</w:t>
            </w:r>
            <w:r w:rsidRPr="00876567">
              <w:rPr>
                <w:rFonts w:cs="Arial"/>
              </w:rPr>
              <w:t xml:space="preserve"> </w:t>
            </w:r>
            <w:r w:rsidRPr="00E256C2">
              <w:rPr>
                <w:rFonts w:cs="Arial"/>
              </w:rPr>
              <w:t xml:space="preserve">issued </w:t>
            </w:r>
            <w:r w:rsidR="00E256C2" w:rsidRPr="00E256C2">
              <w:rPr>
                <w:rFonts w:cs="Arial"/>
                <w:lang w:val="en-AU"/>
              </w:rPr>
              <w:t>or agreed to be issued</w:t>
            </w:r>
            <w:r w:rsidR="00E256C2" w:rsidRPr="00E256C2">
              <w:rPr>
                <w:rFonts w:cs="Arial"/>
              </w:rPr>
              <w:t xml:space="preserve"> </w:t>
            </w:r>
            <w:r w:rsidRPr="00E256C2">
              <w:rPr>
                <w:rFonts w:cs="Arial"/>
              </w:rPr>
              <w:t xml:space="preserve">in </w:t>
            </w:r>
            <w:r w:rsidR="00B13E03" w:rsidRPr="00E256C2">
              <w:rPr>
                <w:rFonts w:cs="Arial"/>
              </w:rPr>
              <w:t xml:space="preserve">the relevant period </w:t>
            </w:r>
            <w:r w:rsidRPr="00E256C2">
              <w:rPr>
                <w:rFonts w:cs="Arial"/>
              </w:rPr>
              <w:t>under rule 7.1A</w:t>
            </w:r>
            <w:r w:rsidR="00D16581" w:rsidRPr="00E256C2">
              <w:rPr>
                <w:rFonts w:cs="Arial"/>
              </w:rPr>
              <w:t>.2</w:t>
            </w:r>
            <w:r w:rsidRPr="00E256C2">
              <w:rPr>
                <w:rFonts w:cs="Arial"/>
              </w:rPr>
              <w:t xml:space="preserve"> w</w:t>
            </w:r>
            <w:r w:rsidR="00E256C2">
              <w:rPr>
                <w:rFonts w:cs="Arial"/>
              </w:rPr>
              <w:t>h</w:t>
            </w:r>
            <w:r w:rsidRPr="00E256C2">
              <w:rPr>
                <w:rFonts w:cs="Arial"/>
              </w:rPr>
              <w:t xml:space="preserve">ere </w:t>
            </w:r>
            <w:r w:rsidR="00E256C2" w:rsidRPr="00E256C2">
              <w:rPr>
                <w:rFonts w:cs="Arial"/>
              </w:rPr>
              <w:t xml:space="preserve">issue or agreement was </w:t>
            </w:r>
            <w:r w:rsidRPr="00E256C2">
              <w:rPr>
                <w:rFonts w:cs="Arial"/>
              </w:rPr>
              <w:t>subsequently approved by security holders under rule 7.4</w:t>
            </w:r>
          </w:p>
        </w:tc>
        <w:tc>
          <w:tcPr>
            <w:tcW w:w="4589" w:type="dxa"/>
            <w:shd w:val="clear" w:color="auto" w:fill="auto"/>
          </w:tcPr>
          <w:p w14:paraId="1E496777" w14:textId="77777777" w:rsidR="00413F9B" w:rsidRPr="00876567" w:rsidRDefault="00413F9B" w:rsidP="00413F9B">
            <w:pPr>
              <w:spacing w:before="120" w:after="120"/>
              <w:ind w:left="0" w:firstLine="0"/>
              <w:rPr>
                <w:rFonts w:cs="Arial"/>
              </w:rPr>
            </w:pPr>
          </w:p>
        </w:tc>
      </w:tr>
      <w:tr w:rsidR="00413F9B" w:rsidRPr="00876567" w14:paraId="3B78719F" w14:textId="77777777" w:rsidTr="00FA73AD">
        <w:tc>
          <w:tcPr>
            <w:tcW w:w="4483" w:type="dxa"/>
            <w:shd w:val="clear" w:color="auto" w:fill="auto"/>
          </w:tcPr>
          <w:p w14:paraId="66E84827" w14:textId="7EC8547D" w:rsidR="00413F9B" w:rsidRPr="00876567" w:rsidRDefault="00413F9B" w:rsidP="00413F9B">
            <w:pPr>
              <w:spacing w:before="120" w:after="120"/>
              <w:ind w:left="0" w:firstLine="0"/>
              <w:rPr>
                <w:rFonts w:cs="Arial"/>
                <w:b/>
              </w:rPr>
            </w:pPr>
            <w:r w:rsidRPr="00876567">
              <w:rPr>
                <w:rFonts w:cs="Arial"/>
                <w:b/>
              </w:rPr>
              <w:t>“E”</w:t>
            </w:r>
            <w:r>
              <w:rPr>
                <w:rFonts w:cs="Arial"/>
                <w:b/>
              </w:rPr>
              <w:t xml:space="preserve"> = E1 – E2</w:t>
            </w:r>
          </w:p>
        </w:tc>
        <w:tc>
          <w:tcPr>
            <w:tcW w:w="4589" w:type="dxa"/>
            <w:shd w:val="clear" w:color="auto" w:fill="auto"/>
          </w:tcPr>
          <w:p w14:paraId="7824EBD6" w14:textId="77777777" w:rsidR="00413F9B" w:rsidRPr="00876567" w:rsidRDefault="00413F9B" w:rsidP="00413F9B">
            <w:pPr>
              <w:spacing w:before="120" w:after="120"/>
              <w:ind w:left="0" w:firstLine="0"/>
              <w:rPr>
                <w:rFonts w:cs="Arial"/>
              </w:rPr>
            </w:pPr>
          </w:p>
        </w:tc>
      </w:tr>
      <w:tr w:rsidR="00413F9B" w:rsidRPr="00876567" w14:paraId="5FD37714" w14:textId="77777777" w:rsidTr="00451B11">
        <w:tc>
          <w:tcPr>
            <w:tcW w:w="9072" w:type="dxa"/>
            <w:gridSpan w:val="2"/>
            <w:shd w:val="clear" w:color="auto" w:fill="FFFF00"/>
          </w:tcPr>
          <w:p w14:paraId="20CC7C90" w14:textId="698ED3BD" w:rsidR="00413F9B" w:rsidRPr="00876567" w:rsidRDefault="00413F9B" w:rsidP="00451B11">
            <w:pPr>
              <w:keepNext/>
              <w:spacing w:before="120" w:after="120"/>
              <w:ind w:left="0" w:firstLine="0"/>
              <w:rPr>
                <w:rFonts w:cs="Arial"/>
              </w:rPr>
            </w:pPr>
            <w:r>
              <w:rPr>
                <w:rFonts w:cs="Arial"/>
                <w:b/>
                <w:i/>
                <w:sz w:val="24"/>
                <w:szCs w:val="24"/>
              </w:rPr>
              <w:t xml:space="preserve">Step </w:t>
            </w:r>
            <w:r w:rsidR="00451B11">
              <w:rPr>
                <w:rFonts w:cs="Arial"/>
                <w:b/>
                <w:i/>
                <w:sz w:val="24"/>
                <w:szCs w:val="24"/>
              </w:rPr>
              <w:t>5</w:t>
            </w:r>
            <w:r w:rsidRPr="00876567">
              <w:rPr>
                <w:rFonts w:cs="Arial"/>
                <w:b/>
                <w:i/>
                <w:sz w:val="24"/>
                <w:szCs w:val="24"/>
              </w:rPr>
              <w:t xml:space="preserve">: </w:t>
            </w:r>
            <w:r>
              <w:rPr>
                <w:rFonts w:cs="Arial"/>
                <w:b/>
                <w:i/>
                <w:sz w:val="24"/>
                <w:szCs w:val="24"/>
              </w:rPr>
              <w:t>c</w:t>
            </w:r>
            <w:r w:rsidRPr="00876567">
              <w:rPr>
                <w:rFonts w:cs="Arial"/>
                <w:b/>
                <w:i/>
                <w:sz w:val="24"/>
                <w:szCs w:val="24"/>
              </w:rPr>
              <w:t xml:space="preserve">alculate remaining </w:t>
            </w:r>
            <w:r>
              <w:rPr>
                <w:rFonts w:cs="Arial"/>
                <w:b/>
                <w:i/>
                <w:sz w:val="24"/>
                <w:szCs w:val="24"/>
              </w:rPr>
              <w:t xml:space="preserve">rule 7.1A </w:t>
            </w:r>
            <w:r w:rsidR="004113FE">
              <w:rPr>
                <w:rFonts w:cs="Arial"/>
                <w:b/>
                <w:i/>
                <w:sz w:val="24"/>
                <w:szCs w:val="24"/>
              </w:rPr>
              <w:t>placement capacity</w:t>
            </w:r>
          </w:p>
        </w:tc>
      </w:tr>
      <w:tr w:rsidR="00413F9B" w:rsidRPr="00876567" w14:paraId="02C2068B" w14:textId="77777777" w:rsidTr="00FA73AD">
        <w:tc>
          <w:tcPr>
            <w:tcW w:w="4483" w:type="dxa"/>
            <w:shd w:val="clear" w:color="auto" w:fill="auto"/>
          </w:tcPr>
          <w:p w14:paraId="3C2B24D2" w14:textId="09D652E0" w:rsidR="00413F9B" w:rsidRPr="00876567" w:rsidRDefault="00413F9B" w:rsidP="00FD5EC3">
            <w:pPr>
              <w:spacing w:before="120" w:after="120"/>
              <w:ind w:left="0" w:firstLine="0"/>
              <w:rPr>
                <w:rFonts w:cs="Arial"/>
                <w:b/>
              </w:rPr>
            </w:pPr>
            <w:r w:rsidRPr="00FA73AD">
              <w:rPr>
                <w:rFonts w:cs="Arial"/>
                <w:b/>
                <w:i/>
              </w:rPr>
              <w:t>Remaining capacity</w:t>
            </w:r>
            <w:r w:rsidRPr="00FA73AD">
              <w:rPr>
                <w:rFonts w:cs="Arial"/>
                <w:b/>
              </w:rPr>
              <w:t xml:space="preserve"> = </w:t>
            </w:r>
            <w:r w:rsidR="005A16AB">
              <w:rPr>
                <w:rFonts w:cs="Arial"/>
                <w:b/>
              </w:rPr>
              <w:t>Rule 7.1A</w:t>
            </w:r>
            <w:r w:rsidR="005A16AB" w:rsidRPr="00FA73AD">
              <w:rPr>
                <w:rFonts w:cs="Arial"/>
                <w:b/>
              </w:rPr>
              <w:t xml:space="preserve"> capacity</w:t>
            </w:r>
            <w:r>
              <w:rPr>
                <w:rFonts w:cs="Arial"/>
                <w:b/>
              </w:rPr>
              <w:t xml:space="preserve"> – E</w:t>
            </w:r>
          </w:p>
        </w:tc>
        <w:tc>
          <w:tcPr>
            <w:tcW w:w="4589" w:type="dxa"/>
            <w:shd w:val="clear" w:color="auto" w:fill="auto"/>
          </w:tcPr>
          <w:p w14:paraId="5E306C92" w14:textId="6C825561" w:rsidR="00413F9B" w:rsidRPr="00876567" w:rsidRDefault="00413F9B" w:rsidP="00413F9B">
            <w:pPr>
              <w:spacing w:before="120" w:after="120"/>
              <w:ind w:left="0" w:firstLine="0"/>
              <w:rPr>
                <w:rFonts w:cs="Arial"/>
              </w:rPr>
            </w:pPr>
          </w:p>
        </w:tc>
      </w:tr>
    </w:tbl>
    <w:p w14:paraId="16ABA46D" w14:textId="4E8C2124" w:rsidR="000C53BB" w:rsidRPr="00451B11" w:rsidRDefault="000C53BB" w:rsidP="000C53BB">
      <w:pPr>
        <w:rPr>
          <w:sz w:val="16"/>
          <w:szCs w:val="16"/>
        </w:rPr>
      </w:pPr>
    </w:p>
    <w:sectPr w:rsidR="000C53BB" w:rsidRPr="00451B11" w:rsidSect="00451B11">
      <w:pgSz w:w="11907" w:h="16834" w:code="9"/>
      <w:pgMar w:top="1418" w:right="1418" w:bottom="1418" w:left="1418" w:header="567" w:footer="567"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6A98" w14:textId="77777777" w:rsidR="002D00E8" w:rsidRDefault="002D00E8">
      <w:r>
        <w:separator/>
      </w:r>
    </w:p>
  </w:endnote>
  <w:endnote w:type="continuationSeparator" w:id="0">
    <w:p w14:paraId="46277B47" w14:textId="77777777" w:rsidR="002D00E8" w:rsidRDefault="002D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Zurich Cn BT">
    <w:altName w:val="Franklin Gothic Medium Cond"/>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lassGarmnd BT">
    <w:altName w:val="Constant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433" w14:textId="77777777" w:rsidR="002D00E8" w:rsidRDefault="002D00E8">
      <w:r>
        <w:separator/>
      </w:r>
    </w:p>
  </w:footnote>
  <w:footnote w:type="continuationSeparator" w:id="0">
    <w:p w14:paraId="34AFC295" w14:textId="77777777" w:rsidR="002D00E8" w:rsidRDefault="002D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0B86054"/>
    <w:lvl w:ilvl="0">
      <w:numFmt w:val="decimal"/>
      <w:lvlText w:val="*"/>
      <w:lvlJc w:val="left"/>
    </w:lvl>
  </w:abstractNum>
  <w:abstractNum w:abstractNumId="1" w15:restartNumberingAfterBreak="0">
    <w:nsid w:val="095F3570"/>
    <w:multiLevelType w:val="hybridMultilevel"/>
    <w:tmpl w:val="1EE6B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1D"/>
    <w:rsid w:val="00024B99"/>
    <w:rsid w:val="00032F96"/>
    <w:rsid w:val="00043317"/>
    <w:rsid w:val="000468C8"/>
    <w:rsid w:val="000B00C4"/>
    <w:rsid w:val="000C53BB"/>
    <w:rsid w:val="000C749F"/>
    <w:rsid w:val="0019491D"/>
    <w:rsid w:val="001B27C5"/>
    <w:rsid w:val="00205F28"/>
    <w:rsid w:val="00227917"/>
    <w:rsid w:val="00267735"/>
    <w:rsid w:val="00286C22"/>
    <w:rsid w:val="002B2773"/>
    <w:rsid w:val="002D00E8"/>
    <w:rsid w:val="002D1BFA"/>
    <w:rsid w:val="002F47F6"/>
    <w:rsid w:val="00316A8C"/>
    <w:rsid w:val="003522F5"/>
    <w:rsid w:val="00382A9D"/>
    <w:rsid w:val="003F41DA"/>
    <w:rsid w:val="004113FE"/>
    <w:rsid w:val="00413F9B"/>
    <w:rsid w:val="00451B11"/>
    <w:rsid w:val="004A52CA"/>
    <w:rsid w:val="004A6CDF"/>
    <w:rsid w:val="004B0A90"/>
    <w:rsid w:val="004D01A4"/>
    <w:rsid w:val="004F34B2"/>
    <w:rsid w:val="00593379"/>
    <w:rsid w:val="005A16AB"/>
    <w:rsid w:val="005F50A3"/>
    <w:rsid w:val="0062063F"/>
    <w:rsid w:val="006603BD"/>
    <w:rsid w:val="00674824"/>
    <w:rsid w:val="006D6F96"/>
    <w:rsid w:val="006E58E9"/>
    <w:rsid w:val="0070138C"/>
    <w:rsid w:val="007B3046"/>
    <w:rsid w:val="007C4E77"/>
    <w:rsid w:val="007D1559"/>
    <w:rsid w:val="007E15CC"/>
    <w:rsid w:val="007E7041"/>
    <w:rsid w:val="007F6CCF"/>
    <w:rsid w:val="008176DC"/>
    <w:rsid w:val="00876567"/>
    <w:rsid w:val="008A6006"/>
    <w:rsid w:val="00994410"/>
    <w:rsid w:val="009F364C"/>
    <w:rsid w:val="00A0785A"/>
    <w:rsid w:val="00A30196"/>
    <w:rsid w:val="00A369DB"/>
    <w:rsid w:val="00A71982"/>
    <w:rsid w:val="00A7293D"/>
    <w:rsid w:val="00AA1A3C"/>
    <w:rsid w:val="00AD3751"/>
    <w:rsid w:val="00B01EDC"/>
    <w:rsid w:val="00B13E03"/>
    <w:rsid w:val="00B26FB0"/>
    <w:rsid w:val="00B6219C"/>
    <w:rsid w:val="00B95E47"/>
    <w:rsid w:val="00B979AA"/>
    <w:rsid w:val="00BD0E49"/>
    <w:rsid w:val="00BD47FB"/>
    <w:rsid w:val="00BD4881"/>
    <w:rsid w:val="00BE575E"/>
    <w:rsid w:val="00BE6213"/>
    <w:rsid w:val="00C35425"/>
    <w:rsid w:val="00C557AE"/>
    <w:rsid w:val="00C82303"/>
    <w:rsid w:val="00CE0348"/>
    <w:rsid w:val="00D00035"/>
    <w:rsid w:val="00D06670"/>
    <w:rsid w:val="00D16581"/>
    <w:rsid w:val="00DA7E36"/>
    <w:rsid w:val="00E11192"/>
    <w:rsid w:val="00E256C2"/>
    <w:rsid w:val="00E61B5B"/>
    <w:rsid w:val="00F6767B"/>
    <w:rsid w:val="00F67DE1"/>
    <w:rsid w:val="00FA73AD"/>
    <w:rsid w:val="00FD5EC3"/>
    <w:rsid w:val="00FE63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3C8261C"/>
  <w15:chartTrackingRefBased/>
  <w15:docId w15:val="{B99C3FC6-CE02-4B17-AA5C-C4505F2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03"/>
    <w:pPr>
      <w:overflowPunct w:val="0"/>
      <w:autoSpaceDE w:val="0"/>
      <w:autoSpaceDN w:val="0"/>
      <w:adjustRightInd w:val="0"/>
      <w:ind w:left="851" w:hanging="851"/>
      <w:textAlignment w:val="baseline"/>
    </w:pPr>
    <w:rPr>
      <w:rFonts w:ascii="Arial Narrow" w:hAnsi="Arial Narrow"/>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styleId="FootnoteReference">
    <w:name w:val="footnote reference"/>
    <w:semiHidden/>
    <w:rPr>
      <w:position w:val="6"/>
      <w:sz w:val="16"/>
    </w:rPr>
  </w:style>
  <w:style w:type="paragraph" w:styleId="FootnoteText">
    <w:name w:val="footnote text"/>
    <w:basedOn w:val="Normal"/>
    <w:semiHidden/>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table" w:styleId="TableGrid">
    <w:name w:val="Table Grid"/>
    <w:basedOn w:val="TableNormal"/>
    <w:rsid w:val="000C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qFormat/>
    <w:rsid w:val="00D06670"/>
    <w:pPr>
      <w:overflowPunct/>
      <w:autoSpaceDE/>
      <w:autoSpaceDN/>
      <w:adjustRightInd/>
      <w:spacing w:before="120" w:after="120"/>
      <w:ind w:left="2127" w:hanging="709"/>
      <w:textAlignment w:val="auto"/>
    </w:pPr>
    <w:rPr>
      <w:rFonts w:ascii="Arial" w:hAnsi="Arial"/>
      <w:szCs w:val="24"/>
      <w:lang w:val="en-AU"/>
    </w:rPr>
  </w:style>
  <w:style w:type="character" w:styleId="CommentReference">
    <w:name w:val="annotation reference"/>
    <w:rsid w:val="00D06670"/>
    <w:rPr>
      <w:sz w:val="16"/>
      <w:szCs w:val="16"/>
    </w:rPr>
  </w:style>
  <w:style w:type="paragraph" w:styleId="CommentText">
    <w:name w:val="annotation text"/>
    <w:basedOn w:val="Normal"/>
    <w:link w:val="CommentTextChar"/>
    <w:rsid w:val="00D06670"/>
    <w:pPr>
      <w:tabs>
        <w:tab w:val="left" w:pos="851"/>
      </w:tabs>
      <w:overflowPunct/>
      <w:autoSpaceDE/>
      <w:autoSpaceDN/>
      <w:adjustRightInd/>
      <w:spacing w:before="120" w:after="120"/>
      <w:ind w:left="0" w:firstLine="0"/>
      <w:textAlignment w:val="auto"/>
    </w:pPr>
    <w:rPr>
      <w:rFonts w:ascii="Arial" w:hAnsi="Arial"/>
      <w:lang w:val="en-AU"/>
    </w:rPr>
  </w:style>
  <w:style w:type="character" w:customStyle="1" w:styleId="CommentTextChar">
    <w:name w:val="Comment Text Char"/>
    <w:basedOn w:val="DefaultParagraphFont"/>
    <w:link w:val="CommentText"/>
    <w:rsid w:val="00D06670"/>
    <w:rPr>
      <w:rFonts w:ascii="Arial" w:hAnsi="Arial"/>
      <w:lang w:eastAsia="en-US"/>
    </w:rPr>
  </w:style>
  <w:style w:type="paragraph" w:styleId="BalloonText">
    <w:name w:val="Balloon Text"/>
    <w:basedOn w:val="Normal"/>
    <w:link w:val="BalloonTextChar"/>
    <w:rsid w:val="00D06670"/>
    <w:rPr>
      <w:rFonts w:ascii="Segoe UI" w:hAnsi="Segoe UI" w:cs="Segoe UI"/>
      <w:sz w:val="18"/>
      <w:szCs w:val="18"/>
    </w:rPr>
  </w:style>
  <w:style w:type="character" w:customStyle="1" w:styleId="BalloonTextChar">
    <w:name w:val="Balloon Text Char"/>
    <w:basedOn w:val="DefaultParagraphFont"/>
    <w:link w:val="BalloonText"/>
    <w:rsid w:val="00D06670"/>
    <w:rPr>
      <w:rFonts w:ascii="Segoe UI" w:hAnsi="Segoe UI" w:cs="Segoe UI"/>
      <w:sz w:val="18"/>
      <w:szCs w:val="18"/>
      <w:lang w:val="en-GB" w:eastAsia="en-US"/>
    </w:rPr>
  </w:style>
  <w:style w:type="paragraph" w:styleId="ListParagraph">
    <w:name w:val="List Paragraph"/>
    <w:basedOn w:val="Normal"/>
    <w:uiPriority w:val="34"/>
    <w:qFormat/>
    <w:rsid w:val="007E7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809</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ASX Listing Rules Appendix 3B - New Issue Announcement Application for Quotation of Additional Securities and Agreement</vt:lpstr>
    </vt:vector>
  </TitlesOfParts>
  <Company>ASX</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3B - New Issue Announcement Application for Quotation of Additional Securities and Agreement</dc:title>
  <dc:subject/>
  <dc:creator>ASX</dc:creator>
  <cp:keywords/>
  <dc:description/>
  <cp:lastModifiedBy>Kevin Lewis</cp:lastModifiedBy>
  <cp:revision>33</cp:revision>
  <cp:lastPrinted>2002-11-27T04:55:00Z</cp:lastPrinted>
  <dcterms:created xsi:type="dcterms:W3CDTF">2016-11-15T06:59:00Z</dcterms:created>
  <dcterms:modified xsi:type="dcterms:W3CDTF">2019-09-27T02:00:00Z</dcterms:modified>
</cp:coreProperties>
</file>