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793F" w14:textId="77777777" w:rsidR="00FD550C" w:rsidRDefault="00FD550C"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p>
    <w:p w14:paraId="725ED218" w14:textId="67A15293" w:rsidR="001F4848" w:rsidRPr="00FD550C" w:rsidRDefault="001F4848"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r w:rsidRPr="00FD550C">
        <w:rPr>
          <w:rFonts w:asciiTheme="majorHAnsi" w:eastAsiaTheme="majorEastAsia" w:hAnsiTheme="majorHAnsi" w:cstheme="majorBidi"/>
          <w:b/>
          <w:caps/>
          <w:color w:val="001E6E" w:themeColor="accent1"/>
          <w:spacing w:val="-18"/>
          <w:sz w:val="32"/>
          <w:szCs w:val="32"/>
          <w14:ligatures w14:val="standardContextual"/>
        </w:rPr>
        <w:t xml:space="preserve">Lesson </w:t>
      </w:r>
      <w:r w:rsidR="007D2B25">
        <w:rPr>
          <w:rFonts w:asciiTheme="majorHAnsi" w:eastAsiaTheme="majorEastAsia" w:hAnsiTheme="majorHAnsi" w:cstheme="majorBidi"/>
          <w:b/>
          <w:caps/>
          <w:color w:val="001E6E" w:themeColor="accent1"/>
          <w:spacing w:val="-18"/>
          <w:sz w:val="32"/>
          <w:szCs w:val="32"/>
          <w14:ligatures w14:val="standardContextual"/>
        </w:rPr>
        <w:t>10</w:t>
      </w:r>
    </w:p>
    <w:sdt>
      <w:sdtPr>
        <w:rPr>
          <w:rFonts w:asciiTheme="majorHAnsi" w:eastAsiaTheme="majorEastAsia" w:hAnsiTheme="majorHAnsi" w:cstheme="majorBidi"/>
          <w:b/>
          <w:color w:val="FFFFFF" w:themeColor="background1"/>
          <w:spacing w:val="-18"/>
          <w:sz w:val="48"/>
          <w:szCs w:val="48"/>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multiLine="1"/>
      </w:sdtPr>
      <w:sdtEndPr/>
      <w:sdtContent>
        <w:p w14:paraId="040B63E1" w14:textId="2E3B26ED" w:rsidR="007652A4" w:rsidRPr="007D2B25" w:rsidRDefault="007D2B25" w:rsidP="007652A4">
          <w:pPr>
            <w:pStyle w:val="NormalNoSpacing"/>
            <w:rPr>
              <w:sz w:val="48"/>
              <w:szCs w:val="48"/>
            </w:rPr>
          </w:pPr>
          <w:r w:rsidRPr="007D2B25">
            <w:rPr>
              <w:rFonts w:asciiTheme="majorHAnsi" w:eastAsiaTheme="majorEastAsia" w:hAnsiTheme="majorHAnsi" w:cstheme="majorBidi"/>
              <w:b/>
              <w:color w:val="FFFFFF" w:themeColor="background1"/>
              <w:spacing w:val="-18"/>
              <w:sz w:val="48"/>
              <w:szCs w:val="48"/>
              <w14:ligatures w14:val="standardContextual"/>
            </w:rPr>
            <w:t xml:space="preserve">Celebrating </w:t>
          </w:r>
          <w:r w:rsidR="006D1F6E">
            <w:rPr>
              <w:rFonts w:asciiTheme="majorHAnsi" w:eastAsiaTheme="majorEastAsia" w:hAnsiTheme="majorHAnsi" w:cstheme="majorBidi"/>
              <w:b/>
              <w:color w:val="FFFFFF" w:themeColor="background1"/>
              <w:spacing w:val="-18"/>
              <w:sz w:val="48"/>
              <w:szCs w:val="48"/>
              <w14:ligatures w14:val="standardContextual"/>
            </w:rPr>
            <w:t>i</w:t>
          </w:r>
          <w:r w:rsidRPr="007D2B25">
            <w:rPr>
              <w:rFonts w:asciiTheme="majorHAnsi" w:eastAsiaTheme="majorEastAsia" w:hAnsiTheme="majorHAnsi" w:cstheme="majorBidi"/>
              <w:b/>
              <w:color w:val="FFFFFF" w:themeColor="background1"/>
              <w:spacing w:val="-18"/>
              <w:sz w:val="48"/>
              <w:szCs w:val="48"/>
              <w14:ligatures w14:val="standardContextual"/>
            </w:rPr>
            <w:t xml:space="preserve">ndigenous </w:t>
          </w:r>
          <w:r w:rsidR="006D1F6E">
            <w:rPr>
              <w:rFonts w:asciiTheme="majorHAnsi" w:eastAsiaTheme="majorEastAsia" w:hAnsiTheme="majorHAnsi" w:cstheme="majorBidi"/>
              <w:b/>
              <w:color w:val="FFFFFF" w:themeColor="background1"/>
              <w:spacing w:val="-18"/>
              <w:sz w:val="48"/>
              <w:szCs w:val="48"/>
              <w14:ligatures w14:val="standardContextual"/>
            </w:rPr>
            <w:t>i</w:t>
          </w:r>
          <w:r w:rsidRPr="007D2B25">
            <w:rPr>
              <w:rFonts w:asciiTheme="majorHAnsi" w:eastAsiaTheme="majorEastAsia" w:hAnsiTheme="majorHAnsi" w:cstheme="majorBidi"/>
              <w:b/>
              <w:color w:val="FFFFFF" w:themeColor="background1"/>
              <w:spacing w:val="-18"/>
              <w:sz w:val="48"/>
              <w:szCs w:val="48"/>
              <w14:ligatures w14:val="standardContextual"/>
            </w:rPr>
            <w:t>nvolvement in the ASX</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17BC35E3" w14:textId="5838D903" w:rsidR="00AA2AB3" w:rsidRDefault="00AA2AB3" w:rsidP="00F04E33"/>
    <w:p w14:paraId="1F4943C8" w14:textId="0FE72084" w:rsidR="007D2B25" w:rsidRDefault="007D2B25" w:rsidP="007D2B25">
      <w:pPr>
        <w:pStyle w:val="IntroCopy"/>
        <w:spacing w:after="100"/>
      </w:pPr>
      <w:r>
        <w:t xml:space="preserve">Meet Australia’s first Indigenous Managing Director and </w:t>
      </w:r>
      <w:r>
        <w:br/>
        <w:t>Chief Executive of an ASX500 company – Brad Welsh</w:t>
      </w:r>
    </w:p>
    <w:p w14:paraId="58BA108B" w14:textId="59FD5B38" w:rsidR="007D2B25" w:rsidRDefault="007D2B25" w:rsidP="007D2B25">
      <w:pPr>
        <w:pStyle w:val="Heading3"/>
        <w:spacing w:before="100"/>
      </w:pPr>
      <w:r>
        <w:t>By Roset Khair, December 2022</w:t>
      </w:r>
      <w:r>
        <w:rPr>
          <w:noProof/>
        </w:rPr>
        <w:drawing>
          <wp:anchor distT="0" distB="0" distL="180340" distR="180340" simplePos="0" relativeHeight="251659264" behindDoc="0" locked="0" layoutInCell="1" allowOverlap="1" wp14:anchorId="091CF485" wp14:editId="4E54A1E7">
            <wp:simplePos x="0" y="0"/>
            <wp:positionH relativeFrom="column">
              <wp:posOffset>4335145</wp:posOffset>
            </wp:positionH>
            <wp:positionV relativeFrom="paragraph">
              <wp:posOffset>-534670</wp:posOffset>
            </wp:positionV>
            <wp:extent cx="1915200" cy="2304000"/>
            <wp:effectExtent l="0" t="0" r="8890" b="1270"/>
            <wp:wrapSquare wrapText="bothSides"/>
            <wp:docPr id="4" name="Prent 1" descr="'n Foto wat person, persoon, gestreepte, pronk bevat&#10;&#10;Beskrywing outomaties gegenereer"/>
            <wp:cNvGraphicFramePr/>
            <a:graphic xmlns:a="http://schemas.openxmlformats.org/drawingml/2006/main">
              <a:graphicData uri="http://schemas.openxmlformats.org/drawingml/2006/picture">
                <pic:pic xmlns:pic="http://schemas.openxmlformats.org/drawingml/2006/picture">
                  <pic:nvPicPr>
                    <pic:cNvPr id="4" name="Prent 1" descr="'n Foto wat person, persoon, gestreepte, pronk bevat&#10;&#10;Beskrywing outomaties gegenereer"/>
                    <pic:cNvPicPr/>
                  </pic:nvPicPr>
                  <pic:blipFill rotWithShape="1">
                    <a:blip r:embed="rId9" cstate="print">
                      <a:extLst>
                        <a:ext uri="{28A0092B-C50C-407E-A947-70E740481C1C}">
                          <a14:useLocalDpi xmlns:a14="http://schemas.microsoft.com/office/drawing/2010/main" val="0"/>
                        </a:ext>
                      </a:extLst>
                    </a:blip>
                    <a:srcRect l="6294" t="13246" r="5599" b="13041"/>
                    <a:stretch/>
                  </pic:blipFill>
                  <pic:spPr bwMode="auto">
                    <a:xfrm>
                      <a:off x="0" y="0"/>
                      <a:ext cx="1915200" cy="230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7A4C50" w14:textId="77777777" w:rsidR="007D2B25" w:rsidRDefault="007D2B25" w:rsidP="007D2B25"/>
    <w:p w14:paraId="751989DF" w14:textId="5CFF5C06" w:rsidR="007D2B25" w:rsidRDefault="007D2B25" w:rsidP="007D2B25">
      <w:r>
        <w:t>When most people think of Indigenous cultural representation and activism, the usual ideas that come to mind include things such as NAIDOC week, reconciliation days and protests. However, Australia’s first Indigenous ASX500 CEO Brad Welsh highlights just how important change from within the corporate sector can also provide fulfilment and impact for the Indigenous community and wider Australia.</w:t>
      </w:r>
    </w:p>
    <w:p w14:paraId="6FCB26FF" w14:textId="5F1ECEC3" w:rsidR="007D2B25" w:rsidRDefault="007D2B25" w:rsidP="007D2B25">
      <w:r>
        <w:rPr>
          <w:rFonts w:ascii="Times New Roman" w:hAnsi="Times New Roman"/>
          <w:noProof/>
          <w:sz w:val="24"/>
          <w:szCs w:val="24"/>
        </w:rPr>
        <mc:AlternateContent>
          <mc:Choice Requires="wps">
            <w:drawing>
              <wp:anchor distT="45720" distB="45720" distL="114300" distR="114300" simplePos="0" relativeHeight="251660288" behindDoc="0" locked="0" layoutInCell="1" allowOverlap="1" wp14:anchorId="61E80D1F" wp14:editId="23AECDA3">
                <wp:simplePos x="0" y="0"/>
                <wp:positionH relativeFrom="column">
                  <wp:posOffset>4335145</wp:posOffset>
                </wp:positionH>
                <wp:positionV relativeFrom="paragraph">
                  <wp:posOffset>461645</wp:posOffset>
                </wp:positionV>
                <wp:extent cx="1916430" cy="268605"/>
                <wp:effectExtent l="0" t="0" r="762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268605"/>
                        </a:xfrm>
                        <a:prstGeom prst="rect">
                          <a:avLst/>
                        </a:prstGeom>
                        <a:solidFill>
                          <a:schemeClr val="accent2"/>
                        </a:solidFill>
                        <a:ln w="9525">
                          <a:noFill/>
                          <a:miter lim="800000"/>
                          <a:headEnd/>
                          <a:tailEnd/>
                        </a:ln>
                      </wps:spPr>
                      <wps:txbx>
                        <w:txbxContent>
                          <w:p w14:paraId="7ECDC89E" w14:textId="77777777" w:rsidR="007D2B25" w:rsidRPr="007D2B25" w:rsidRDefault="007D2B25" w:rsidP="007D2B25">
                            <w:pPr>
                              <w:pStyle w:val="TimelineText"/>
                              <w:rPr>
                                <w:b/>
                                <w:bCs/>
                                <w:color w:val="FFFFFF" w:themeColor="background1"/>
                                <w:sz w:val="18"/>
                                <w:szCs w:val="18"/>
                              </w:rPr>
                            </w:pPr>
                            <w:r w:rsidRPr="007D2B25">
                              <w:rPr>
                                <w:b/>
                                <w:bCs/>
                                <w:color w:val="FFFFFF" w:themeColor="background1"/>
                                <w:sz w:val="18"/>
                                <w:szCs w:val="18"/>
                              </w:rPr>
                              <w:t>Brad Welsh, CEO of ERA 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80D1F" id="_x0000_t202" coordsize="21600,21600" o:spt="202" path="m,l,21600r21600,l21600,xe">
                <v:stroke joinstyle="miter"/>
                <v:path gradientshapeok="t" o:connecttype="rect"/>
              </v:shapetype>
              <v:shape id="Text Box 5" o:spid="_x0000_s1026" type="#_x0000_t202" style="position:absolute;margin-left:341.35pt;margin-top:36.35pt;width:150.9pt;height:21.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" fillcolor="#2d6df8 [3205]" stroked="f">
                <v:textbox>
                  <w:txbxContent>
                    <w:p w14:paraId="7ECDC89E" w14:textId="77777777" w:rsidR="007D2B25" w:rsidRPr="007D2B25" w:rsidRDefault="007D2B25" w:rsidP="007D2B25">
                      <w:pPr>
                        <w:pStyle w:val="TimelineText"/>
                        <w:rPr>
                          <w:b/>
                          <w:bCs/>
                          <w:color w:val="FFFFFF" w:themeColor="background1"/>
                          <w:sz w:val="18"/>
                          <w:szCs w:val="18"/>
                        </w:rPr>
                      </w:pPr>
                      <w:r w:rsidRPr="007D2B25">
                        <w:rPr>
                          <w:b/>
                          <w:bCs/>
                          <w:color w:val="FFFFFF" w:themeColor="background1"/>
                          <w:sz w:val="18"/>
                          <w:szCs w:val="18"/>
                        </w:rPr>
                        <w:t>Brad Welsh, CEO of ERA Ltd</w:t>
                      </w:r>
                    </w:p>
                  </w:txbxContent>
                </v:textbox>
                <w10:wrap type="square"/>
              </v:shape>
            </w:pict>
          </mc:Fallback>
        </mc:AlternateContent>
      </w:r>
      <w:r>
        <w:t xml:space="preserve">Growing up in Redfern, Sydney, Welsh worked in his youth to pay for necessities such as the electricity bill. He was not the ideal student, with teachers often saying he had potential but needed to apply himself better. However, he has not allowed his humble beginnings to limit the impact he has since had in the world of business, becoming a leader and pioneer within the industry of mining and in the field of environmental sustainability. </w:t>
      </w:r>
    </w:p>
    <w:p w14:paraId="5FA3EF8F" w14:textId="398DC2F9" w:rsidR="007D2B25" w:rsidRDefault="007D2B25" w:rsidP="007D2B25">
      <w:r>
        <w:t>Currently Welsh is the Chief Executive Officer (CEO) and Managing Director (MD) of Energy Resources of Australia Ltd (ERA), a company floated on the ASX in July of 1980, in what was at the time the largest ever public float in Australian history. In 2000, a majority stake was acquired by Rio Tinto, one of the biggest companies listed on the ASX. Currently Rio Tinto remains the majority shareholder of ERA. The company has evolved over the years, with a changing focus on Environmental, Social, and Governance through its revitalised purpose, values, and priorities.</w:t>
      </w:r>
    </w:p>
    <w:p w14:paraId="7E7D7B9A" w14:textId="66399535" w:rsidR="007D2B25" w:rsidRDefault="007D2B25" w:rsidP="007D2B25">
      <w:pPr>
        <w:pStyle w:val="IntroCopy"/>
      </w:pPr>
      <w:r>
        <w:t xml:space="preserve">ERA's purpose is to create a positive legacy and achieve world-class, sustainable </w:t>
      </w:r>
      <w:r>
        <w:br/>
        <w:t>rehabilitation of former mine assets. (Energy Resources Australia, 2022)</w:t>
      </w:r>
    </w:p>
    <w:p w14:paraId="2EFBBC1B" w14:textId="3F00481B" w:rsidR="007D2B25" w:rsidRDefault="007D2B25" w:rsidP="007D2B25">
      <w:r>
        <w:t xml:space="preserve">It is Welsh’s unique life experiences that have allowed him to be the impactful leader needed for such an important role, leading ERA Ltd as CEO. He began his career in social work after completing a Bachelor’s degree in Welfare (Aboriginal Community Studies). While working in this field, he completed a Law degree, hoping to make an even greater impact on the Indigenous community he worked with. </w:t>
      </w:r>
    </w:p>
    <w:p w14:paraId="0A6C26B6" w14:textId="77777777" w:rsidR="007D2B25" w:rsidRDefault="007D2B25" w:rsidP="007D2B25">
      <w:r>
        <w:t xml:space="preserve">It led to him eventually transitioning to the role of Media Assistant to Kevin Rudd a few months prior to the GFC in 2008, before moving to the role of Senior Advisor to Kristina Kenneally, NSW Planning Minister at the time. It is than that he realised that he could make an even greater impact, giving voice to remote Indigenous communities impacted by mining. </w:t>
      </w:r>
    </w:p>
    <w:p w14:paraId="50495D96" w14:textId="77777777" w:rsidR="007D2B25" w:rsidRDefault="007D2B25" w:rsidP="007D2B25">
      <w:r>
        <w:t>He continued his studies, completing a Masters in Mining Engineering which eventually led to him holding advisory and managerial positions within Rio Tinto before being appointed to the role of Chief Executive Officer of ERA Ltd in February 2022, a part of the Rio Tinto group of companies. He describes his career as being a mixture of “preparedness meets opportunity.” Welsh recognised the importance of mining as a long-term investment for Indigenous communities not tapped into at this point.</w:t>
      </w:r>
    </w:p>
    <w:p w14:paraId="4D7322FD" w14:textId="3B865115" w:rsidR="007D2B25" w:rsidRDefault="007D2B25" w:rsidP="007D2B25">
      <w:pPr>
        <w:pStyle w:val="IntroCopy"/>
      </w:pPr>
      <w:r w:rsidRPr="007D2B25">
        <w:t>“Having Indigenous leadership in the centre [of business] and driving investment is beneficial as many of these communities do not have alternative investments – I wanted to be part of the solution and not part of the problem”</w:t>
      </w:r>
    </w:p>
    <w:p w14:paraId="586A87DA" w14:textId="2998293F" w:rsidR="007D2B25" w:rsidRDefault="007D2B25" w:rsidP="007D2B25">
      <w:r>
        <w:br w:type="page"/>
      </w:r>
    </w:p>
    <w:p w14:paraId="2AA8DC22" w14:textId="77777777" w:rsidR="007D2B25" w:rsidRPr="00D2448F" w:rsidRDefault="007D2B25" w:rsidP="007D2B25">
      <w:r w:rsidRPr="00D2448F">
        <w:lastRenderedPageBreak/>
        <w:t xml:space="preserve">He emphasises that in his role as CEO that, beyond the day-to-day complexity of working through an array of shareholder concerns and catering to their changing interests, working with such diverse interests to guide the company’s strategy provides a sense of custodianship. He remarks this is a striking parallel to the Indigenous sense of custodianship of the land and one’s people in which the leader takes something and ensures they leave it in a better place than how it was first received. </w:t>
      </w:r>
    </w:p>
    <w:p w14:paraId="65B9630C" w14:textId="0CE7C697" w:rsidR="005131AD" w:rsidRDefault="007D2B25" w:rsidP="006D1F6E">
      <w:pPr>
        <w:pStyle w:val="IntroCopy"/>
      </w:pPr>
      <w:r w:rsidRPr="00D2448F">
        <w:t>“The presence of your leadership is far more impactful than practice of your leadership and by being in such a position in the corporate sector you get the chance to be of a minority and harness the future of the company using Indigenous thought at the centre.”</w:t>
      </w:r>
    </w:p>
    <w:p w14:paraId="629A8451" w14:textId="77777777" w:rsidR="006D1F6E" w:rsidRDefault="006D1F6E" w:rsidP="006D1F6E">
      <w:pPr>
        <w:pStyle w:val="IntroCopy"/>
      </w:pPr>
    </w:p>
    <w:p w14:paraId="1CAFBF63" w14:textId="77777777" w:rsidR="007D2B25" w:rsidRDefault="007D2B25" w:rsidP="00D2448F">
      <w:pPr>
        <w:pStyle w:val="Heading1"/>
      </w:pPr>
      <w:r w:rsidRPr="00B66AF5">
        <w:t>Activity 1</w:t>
      </w:r>
    </w:p>
    <w:p w14:paraId="1D4DE793" w14:textId="77777777" w:rsidR="007D2B25" w:rsidRDefault="007D2B25" w:rsidP="00D2448F">
      <w:pPr>
        <w:pStyle w:val="Heading2"/>
        <w:rPr>
          <w:color w:val="000E36" w:themeColor="accent1" w:themeShade="7F"/>
          <w:szCs w:val="24"/>
        </w:rPr>
      </w:pPr>
      <w:r>
        <w:t xml:space="preserve">Comprehension Activity </w:t>
      </w:r>
    </w:p>
    <w:p w14:paraId="50B9A521" w14:textId="77777777" w:rsidR="007D2B25" w:rsidRDefault="007D2B25" w:rsidP="007D2B25">
      <w:r>
        <w:t>Read the above article and respond to the following comprehension questions:</w:t>
      </w:r>
    </w:p>
    <w:p w14:paraId="7D00BBB3" w14:textId="77777777" w:rsidR="007D2B25" w:rsidRDefault="007D2B25" w:rsidP="00D2448F">
      <w:pPr>
        <w:pStyle w:val="ListNumber"/>
        <w:numPr>
          <w:ilvl w:val="0"/>
          <w:numId w:val="9"/>
        </w:numPr>
        <w:adjustRightInd/>
        <w:snapToGrid/>
        <w:spacing w:before="300" w:line="240" w:lineRule="auto"/>
        <w:contextualSpacing/>
      </w:pPr>
      <w:r>
        <w:t>What is meant by Welsh’s statement,</w:t>
      </w:r>
      <w:r>
        <w:rPr>
          <w:rFonts w:cstheme="minorHAnsi"/>
        </w:rPr>
        <w:t xml:space="preserve"> “preparedness meets opportunity”?</w:t>
      </w:r>
    </w:p>
    <w:tbl>
      <w:tblPr>
        <w:tblStyle w:val="ASXTable"/>
        <w:tblW w:w="9638" w:type="dxa"/>
        <w:tblBorders>
          <w:top w:val="single" w:sz="4" w:space="0" w:color="auto"/>
          <w:bottom w:val="single" w:sz="4" w:space="0" w:color="auto"/>
          <w:insideV w:val="single" w:sz="4" w:space="0" w:color="000000" w:themeColor="text1"/>
        </w:tblBorders>
        <w:tblLook w:val="0680" w:firstRow="0" w:lastRow="0" w:firstColumn="1" w:lastColumn="0" w:noHBand="1" w:noVBand="1"/>
      </w:tblPr>
      <w:tblGrid>
        <w:gridCol w:w="9638"/>
      </w:tblGrid>
      <w:tr w:rsidR="007D2B25" w:rsidRPr="00FB4BE6" w14:paraId="3BFCB892" w14:textId="77777777" w:rsidTr="006D1F6E">
        <w:trPr>
          <w:trHeight w:val="20"/>
        </w:trPr>
        <w:tc>
          <w:tcPr>
            <w:tcW w:w="9638" w:type="dxa"/>
            <w:tcBorders>
              <w:top w:val="nil"/>
              <w:bottom w:val="single" w:sz="4" w:space="0" w:color="000000" w:themeColor="text1"/>
            </w:tcBorders>
          </w:tcPr>
          <w:p w14:paraId="16DD1F0B" w14:textId="77777777" w:rsidR="007D2B25" w:rsidRPr="00E67598" w:rsidRDefault="007D2B25" w:rsidP="007D2B25">
            <w:pPr>
              <w:pStyle w:val="NormalNoSpacing"/>
              <w:spacing w:before="120" w:after="120"/>
              <w:contextualSpacing w:val="0"/>
            </w:pPr>
          </w:p>
        </w:tc>
      </w:tr>
      <w:tr w:rsidR="007D2B25" w:rsidRPr="00FB4BE6" w14:paraId="54DF4E00" w14:textId="77777777" w:rsidTr="006D1F6E">
        <w:trPr>
          <w:trHeight w:val="20"/>
        </w:trPr>
        <w:tc>
          <w:tcPr>
            <w:tcW w:w="9638" w:type="dxa"/>
            <w:tcBorders>
              <w:top w:val="single" w:sz="4" w:space="0" w:color="000000" w:themeColor="text1"/>
            </w:tcBorders>
          </w:tcPr>
          <w:p w14:paraId="131CD9E1" w14:textId="77777777" w:rsidR="007D2B25" w:rsidRPr="00E67598" w:rsidRDefault="007D2B25" w:rsidP="007D2B25">
            <w:pPr>
              <w:pStyle w:val="NormalNoSpacing"/>
              <w:spacing w:before="120" w:after="120"/>
              <w:contextualSpacing w:val="0"/>
            </w:pPr>
          </w:p>
        </w:tc>
      </w:tr>
      <w:tr w:rsidR="007D2B25" w:rsidRPr="00FB4BE6" w14:paraId="48E319FC" w14:textId="77777777" w:rsidTr="006D1F6E">
        <w:trPr>
          <w:trHeight w:val="20"/>
        </w:trPr>
        <w:tc>
          <w:tcPr>
            <w:tcW w:w="9638" w:type="dxa"/>
          </w:tcPr>
          <w:p w14:paraId="0A2BAEF1" w14:textId="77777777" w:rsidR="007D2B25" w:rsidRPr="00E67598" w:rsidRDefault="007D2B25" w:rsidP="007D2B25">
            <w:pPr>
              <w:pStyle w:val="NormalNoSpacing"/>
              <w:spacing w:before="120" w:after="120"/>
              <w:contextualSpacing w:val="0"/>
            </w:pPr>
          </w:p>
        </w:tc>
      </w:tr>
    </w:tbl>
    <w:p w14:paraId="0914E2B6" w14:textId="77777777" w:rsidR="007D2B25" w:rsidRDefault="007D2B25" w:rsidP="00D2448F">
      <w:pPr>
        <w:pStyle w:val="ListNumber"/>
        <w:numPr>
          <w:ilvl w:val="0"/>
          <w:numId w:val="9"/>
        </w:numPr>
        <w:adjustRightInd/>
        <w:snapToGrid/>
        <w:spacing w:before="300" w:line="240" w:lineRule="auto"/>
        <w:contextualSpacing/>
      </w:pPr>
      <w:r>
        <w:rPr>
          <w:rFonts w:cstheme="minorHAnsi"/>
          <w:b/>
          <w:bCs/>
          <w:u w:val="single"/>
        </w:rPr>
        <w:t>Define</w:t>
      </w:r>
      <w:r>
        <w:rPr>
          <w:rFonts w:cstheme="minorHAnsi"/>
        </w:rPr>
        <w:t xml:space="preserve"> the concept of custodianship of the land.</w:t>
      </w:r>
    </w:p>
    <w:tbl>
      <w:tblPr>
        <w:tblStyle w:val="ASXTable"/>
        <w:tblW w:w="9638" w:type="dxa"/>
        <w:tblBorders>
          <w:top w:val="single" w:sz="4" w:space="0" w:color="auto"/>
          <w:bottom w:val="single" w:sz="4" w:space="0" w:color="auto"/>
          <w:insideV w:val="single" w:sz="4" w:space="0" w:color="000000" w:themeColor="text1"/>
        </w:tblBorders>
        <w:tblLook w:val="0680" w:firstRow="0" w:lastRow="0" w:firstColumn="1" w:lastColumn="0" w:noHBand="1" w:noVBand="1"/>
      </w:tblPr>
      <w:tblGrid>
        <w:gridCol w:w="9638"/>
      </w:tblGrid>
      <w:tr w:rsidR="007D2B25" w:rsidRPr="00FB4BE6" w14:paraId="393C77E7" w14:textId="77777777" w:rsidTr="006D1F6E">
        <w:trPr>
          <w:trHeight w:val="20"/>
        </w:trPr>
        <w:tc>
          <w:tcPr>
            <w:tcW w:w="9638" w:type="dxa"/>
            <w:tcBorders>
              <w:top w:val="nil"/>
              <w:bottom w:val="single" w:sz="4" w:space="0" w:color="000000" w:themeColor="text1"/>
            </w:tcBorders>
          </w:tcPr>
          <w:p w14:paraId="154CAAAD" w14:textId="77777777" w:rsidR="007D2B25" w:rsidRPr="00E67598" w:rsidRDefault="007D2B25" w:rsidP="00E47A46">
            <w:pPr>
              <w:pStyle w:val="NormalNoSpacing"/>
              <w:spacing w:before="120" w:after="120"/>
              <w:contextualSpacing w:val="0"/>
            </w:pPr>
          </w:p>
        </w:tc>
      </w:tr>
      <w:tr w:rsidR="007D2B25" w:rsidRPr="00FB4BE6" w14:paraId="64F9278D" w14:textId="77777777" w:rsidTr="006D1F6E">
        <w:trPr>
          <w:trHeight w:val="20"/>
        </w:trPr>
        <w:tc>
          <w:tcPr>
            <w:tcW w:w="9638" w:type="dxa"/>
            <w:tcBorders>
              <w:top w:val="single" w:sz="4" w:space="0" w:color="000000" w:themeColor="text1"/>
            </w:tcBorders>
          </w:tcPr>
          <w:p w14:paraId="5FD0B694" w14:textId="77777777" w:rsidR="007D2B25" w:rsidRPr="00E67598" w:rsidRDefault="007D2B25" w:rsidP="00E47A46">
            <w:pPr>
              <w:pStyle w:val="NormalNoSpacing"/>
              <w:spacing w:before="120" w:after="120"/>
              <w:contextualSpacing w:val="0"/>
            </w:pPr>
          </w:p>
        </w:tc>
      </w:tr>
      <w:tr w:rsidR="007D2B25" w:rsidRPr="00FB4BE6" w14:paraId="570243BB" w14:textId="77777777" w:rsidTr="006D1F6E">
        <w:trPr>
          <w:trHeight w:val="20"/>
        </w:trPr>
        <w:tc>
          <w:tcPr>
            <w:tcW w:w="9638" w:type="dxa"/>
          </w:tcPr>
          <w:p w14:paraId="456F399E" w14:textId="77777777" w:rsidR="007D2B25" w:rsidRPr="00E67598" w:rsidRDefault="007D2B25" w:rsidP="00E47A46">
            <w:pPr>
              <w:pStyle w:val="NormalNoSpacing"/>
              <w:spacing w:before="120" w:after="120"/>
              <w:contextualSpacing w:val="0"/>
            </w:pPr>
          </w:p>
        </w:tc>
      </w:tr>
    </w:tbl>
    <w:p w14:paraId="68B446B8" w14:textId="77777777" w:rsidR="007D2B25" w:rsidRDefault="007D2B25" w:rsidP="005131AD">
      <w:pPr>
        <w:pStyle w:val="ListNumber"/>
        <w:keepNext/>
        <w:keepLines/>
        <w:numPr>
          <w:ilvl w:val="0"/>
          <w:numId w:val="9"/>
        </w:numPr>
        <w:adjustRightInd/>
        <w:snapToGrid/>
        <w:spacing w:before="300" w:line="240" w:lineRule="auto"/>
        <w:contextualSpacing/>
      </w:pPr>
      <w:r>
        <w:rPr>
          <w:rFonts w:cstheme="minorHAnsi"/>
        </w:rPr>
        <w:t xml:space="preserve">In the article, Welsh is said to be from the Indigenous </w:t>
      </w:r>
      <w:r w:rsidRPr="009D1DB2">
        <w:rPr>
          <w:bCs/>
        </w:rPr>
        <w:t>Muruwari tribe.</w:t>
      </w:r>
      <w:r>
        <w:rPr>
          <w:rStyle w:val="Strong"/>
          <w:rFonts w:cstheme="minorHAnsi"/>
          <w:color w:val="111111"/>
          <w:shd w:val="clear" w:color="auto" w:fill="FFFFFF"/>
        </w:rPr>
        <w:t xml:space="preserve"> </w:t>
      </w:r>
      <w:r>
        <w:rPr>
          <w:rFonts w:cstheme="minorHAnsi"/>
          <w:b/>
          <w:bCs/>
          <w:u w:val="single"/>
        </w:rPr>
        <w:t>Explain</w:t>
      </w:r>
      <w:r w:rsidRPr="009D1DB2">
        <w:rPr>
          <w:rFonts w:cstheme="minorHAnsi"/>
          <w:bCs/>
        </w:rPr>
        <w:t xml:space="preserve"> </w:t>
      </w:r>
      <w:r>
        <w:rPr>
          <w:rFonts w:cstheme="minorHAnsi"/>
        </w:rPr>
        <w:t>what is meant by this.</w:t>
      </w:r>
    </w:p>
    <w:tbl>
      <w:tblPr>
        <w:tblStyle w:val="ASXTable"/>
        <w:tblW w:w="9638" w:type="dxa"/>
        <w:tblBorders>
          <w:top w:val="single" w:sz="4" w:space="0" w:color="auto"/>
          <w:bottom w:val="single" w:sz="4" w:space="0" w:color="auto"/>
          <w:insideV w:val="single" w:sz="4" w:space="0" w:color="000000" w:themeColor="text1"/>
        </w:tblBorders>
        <w:tblLook w:val="0680" w:firstRow="0" w:lastRow="0" w:firstColumn="1" w:lastColumn="0" w:noHBand="1" w:noVBand="1"/>
      </w:tblPr>
      <w:tblGrid>
        <w:gridCol w:w="9638"/>
      </w:tblGrid>
      <w:tr w:rsidR="007D2B25" w:rsidRPr="00FB4BE6" w14:paraId="03133ED7" w14:textId="77777777" w:rsidTr="006D1F6E">
        <w:trPr>
          <w:trHeight w:val="20"/>
        </w:trPr>
        <w:tc>
          <w:tcPr>
            <w:tcW w:w="9638" w:type="dxa"/>
            <w:tcBorders>
              <w:top w:val="nil"/>
              <w:bottom w:val="single" w:sz="4" w:space="0" w:color="000000" w:themeColor="text1"/>
            </w:tcBorders>
          </w:tcPr>
          <w:p w14:paraId="0CED34E7" w14:textId="77777777" w:rsidR="007D2B25" w:rsidRPr="00E67598" w:rsidRDefault="007D2B25" w:rsidP="00D2448F">
            <w:pPr>
              <w:pStyle w:val="NormalNoSpacing"/>
              <w:keepNext/>
              <w:keepLines/>
              <w:spacing w:before="120" w:after="120"/>
              <w:contextualSpacing w:val="0"/>
            </w:pPr>
          </w:p>
        </w:tc>
      </w:tr>
      <w:tr w:rsidR="007D2B25" w:rsidRPr="00FB4BE6" w14:paraId="04582868" w14:textId="77777777" w:rsidTr="006D1F6E">
        <w:trPr>
          <w:trHeight w:val="20"/>
        </w:trPr>
        <w:tc>
          <w:tcPr>
            <w:tcW w:w="9638" w:type="dxa"/>
            <w:tcBorders>
              <w:top w:val="single" w:sz="4" w:space="0" w:color="000000" w:themeColor="text1"/>
            </w:tcBorders>
          </w:tcPr>
          <w:p w14:paraId="145E6512" w14:textId="77777777" w:rsidR="007D2B25" w:rsidRPr="00E67598" w:rsidRDefault="007D2B25" w:rsidP="00D2448F">
            <w:pPr>
              <w:pStyle w:val="NormalNoSpacing"/>
              <w:keepNext/>
              <w:keepLines/>
              <w:spacing w:before="120" w:after="120"/>
              <w:contextualSpacing w:val="0"/>
            </w:pPr>
          </w:p>
        </w:tc>
      </w:tr>
      <w:tr w:rsidR="007D2B25" w:rsidRPr="00FB4BE6" w14:paraId="7B3B01F1" w14:textId="77777777" w:rsidTr="006D1F6E">
        <w:trPr>
          <w:trHeight w:val="20"/>
        </w:trPr>
        <w:tc>
          <w:tcPr>
            <w:tcW w:w="9638" w:type="dxa"/>
          </w:tcPr>
          <w:p w14:paraId="4512BF20" w14:textId="77777777" w:rsidR="007D2B25" w:rsidRPr="00E67598" w:rsidRDefault="007D2B25" w:rsidP="00D2448F">
            <w:pPr>
              <w:pStyle w:val="NormalNoSpacing"/>
              <w:keepNext/>
              <w:keepLines/>
              <w:spacing w:before="120" w:after="120"/>
              <w:contextualSpacing w:val="0"/>
            </w:pPr>
          </w:p>
        </w:tc>
      </w:tr>
    </w:tbl>
    <w:p w14:paraId="105E284D" w14:textId="77777777" w:rsidR="007D2B25" w:rsidRDefault="007D2B25" w:rsidP="00D2448F">
      <w:pPr>
        <w:pStyle w:val="ListNumber"/>
        <w:numPr>
          <w:ilvl w:val="0"/>
          <w:numId w:val="9"/>
        </w:numPr>
        <w:adjustRightInd/>
        <w:snapToGrid/>
        <w:spacing w:before="300" w:line="240" w:lineRule="auto"/>
        <w:contextualSpacing/>
      </w:pPr>
      <w:r>
        <w:rPr>
          <w:rFonts w:cstheme="minorHAnsi"/>
          <w:color w:val="111111"/>
          <w:shd w:val="clear" w:color="auto" w:fill="FFFFFF"/>
        </w:rPr>
        <w:t xml:space="preserve">Welsh refers to Indigenous culture as being a ‘high context culture’. </w:t>
      </w:r>
      <w:r>
        <w:rPr>
          <w:rFonts w:cstheme="minorHAnsi"/>
          <w:b/>
          <w:bCs/>
          <w:color w:val="111111"/>
          <w:u w:val="single"/>
          <w:shd w:val="clear" w:color="auto" w:fill="FFFFFF"/>
        </w:rPr>
        <w:t>Outline</w:t>
      </w:r>
      <w:r w:rsidRPr="009D1DB2">
        <w:rPr>
          <w:rFonts w:cstheme="minorHAnsi"/>
          <w:bCs/>
          <w:color w:val="111111"/>
          <w:shd w:val="clear" w:color="auto" w:fill="FFFFFF"/>
        </w:rPr>
        <w:t xml:space="preserve"> </w:t>
      </w:r>
      <w:r>
        <w:rPr>
          <w:rFonts w:cstheme="minorHAnsi"/>
          <w:color w:val="111111"/>
          <w:shd w:val="clear" w:color="auto" w:fill="FFFFFF"/>
        </w:rPr>
        <w:t>what he means by this.</w:t>
      </w:r>
    </w:p>
    <w:tbl>
      <w:tblPr>
        <w:tblStyle w:val="ASXTable"/>
        <w:tblW w:w="9638" w:type="dxa"/>
        <w:tblBorders>
          <w:top w:val="single" w:sz="4" w:space="0" w:color="auto"/>
          <w:bottom w:val="single" w:sz="4" w:space="0" w:color="auto"/>
          <w:insideV w:val="single" w:sz="4" w:space="0" w:color="000000" w:themeColor="text1"/>
        </w:tblBorders>
        <w:tblLook w:val="0680" w:firstRow="0" w:lastRow="0" w:firstColumn="1" w:lastColumn="0" w:noHBand="1" w:noVBand="1"/>
      </w:tblPr>
      <w:tblGrid>
        <w:gridCol w:w="9638"/>
      </w:tblGrid>
      <w:tr w:rsidR="007D2B25" w:rsidRPr="00FB4BE6" w14:paraId="79988A36" w14:textId="77777777" w:rsidTr="006D1F6E">
        <w:trPr>
          <w:trHeight w:val="20"/>
        </w:trPr>
        <w:tc>
          <w:tcPr>
            <w:tcW w:w="9638" w:type="dxa"/>
            <w:tcBorders>
              <w:top w:val="nil"/>
              <w:bottom w:val="single" w:sz="4" w:space="0" w:color="000000" w:themeColor="text1"/>
            </w:tcBorders>
          </w:tcPr>
          <w:p w14:paraId="412D1557" w14:textId="77777777" w:rsidR="007D2B25" w:rsidRPr="00E67598" w:rsidRDefault="007D2B25" w:rsidP="00E47A46">
            <w:pPr>
              <w:pStyle w:val="NormalNoSpacing"/>
              <w:spacing w:before="120" w:after="120"/>
              <w:contextualSpacing w:val="0"/>
            </w:pPr>
          </w:p>
        </w:tc>
      </w:tr>
      <w:tr w:rsidR="007D2B25" w:rsidRPr="00FB4BE6" w14:paraId="1E988E0A" w14:textId="77777777" w:rsidTr="006D1F6E">
        <w:trPr>
          <w:trHeight w:val="20"/>
        </w:trPr>
        <w:tc>
          <w:tcPr>
            <w:tcW w:w="9638" w:type="dxa"/>
            <w:tcBorders>
              <w:top w:val="single" w:sz="4" w:space="0" w:color="000000" w:themeColor="text1"/>
            </w:tcBorders>
          </w:tcPr>
          <w:p w14:paraId="6BFB3120" w14:textId="77777777" w:rsidR="007D2B25" w:rsidRPr="00E67598" w:rsidRDefault="007D2B25" w:rsidP="00E47A46">
            <w:pPr>
              <w:pStyle w:val="NormalNoSpacing"/>
              <w:spacing w:before="120" w:after="120"/>
              <w:contextualSpacing w:val="0"/>
            </w:pPr>
          </w:p>
        </w:tc>
      </w:tr>
      <w:tr w:rsidR="007D2B25" w:rsidRPr="00FB4BE6" w14:paraId="270C5EF2" w14:textId="77777777" w:rsidTr="006D1F6E">
        <w:trPr>
          <w:trHeight w:val="20"/>
        </w:trPr>
        <w:tc>
          <w:tcPr>
            <w:tcW w:w="9638" w:type="dxa"/>
          </w:tcPr>
          <w:p w14:paraId="5D8DE162" w14:textId="77777777" w:rsidR="007D2B25" w:rsidRPr="00E67598" w:rsidRDefault="007D2B25" w:rsidP="00E47A46">
            <w:pPr>
              <w:pStyle w:val="NormalNoSpacing"/>
              <w:spacing w:before="120" w:after="120"/>
              <w:contextualSpacing w:val="0"/>
            </w:pPr>
          </w:p>
        </w:tc>
      </w:tr>
    </w:tbl>
    <w:p w14:paraId="58E7A551" w14:textId="77777777" w:rsidR="007D2B25" w:rsidRDefault="007D2B25" w:rsidP="00D2448F">
      <w:pPr>
        <w:pStyle w:val="ListNumber"/>
        <w:numPr>
          <w:ilvl w:val="0"/>
          <w:numId w:val="9"/>
        </w:numPr>
        <w:adjustRightInd/>
        <w:snapToGrid/>
        <w:spacing w:before="300" w:line="240" w:lineRule="auto"/>
        <w:contextualSpacing/>
      </w:pPr>
      <w:r>
        <w:rPr>
          <w:rFonts w:cstheme="minorHAnsi"/>
        </w:rPr>
        <w:t>What does it mean to “separate the signals from the noise.”?</w:t>
      </w:r>
    </w:p>
    <w:tbl>
      <w:tblPr>
        <w:tblStyle w:val="ASXTable"/>
        <w:tblW w:w="9638" w:type="dxa"/>
        <w:tblBorders>
          <w:top w:val="single" w:sz="4" w:space="0" w:color="auto"/>
          <w:bottom w:val="single" w:sz="4" w:space="0" w:color="auto"/>
          <w:insideV w:val="single" w:sz="4" w:space="0" w:color="000000" w:themeColor="text1"/>
        </w:tblBorders>
        <w:tblLook w:val="0680" w:firstRow="0" w:lastRow="0" w:firstColumn="1" w:lastColumn="0" w:noHBand="1" w:noVBand="1"/>
      </w:tblPr>
      <w:tblGrid>
        <w:gridCol w:w="9638"/>
      </w:tblGrid>
      <w:tr w:rsidR="007D2B25" w:rsidRPr="00FB4BE6" w14:paraId="2DB98AD8" w14:textId="77777777" w:rsidTr="006D1F6E">
        <w:trPr>
          <w:trHeight w:val="20"/>
        </w:trPr>
        <w:tc>
          <w:tcPr>
            <w:tcW w:w="9638" w:type="dxa"/>
            <w:tcBorders>
              <w:top w:val="nil"/>
              <w:bottom w:val="single" w:sz="4" w:space="0" w:color="000000" w:themeColor="text1"/>
            </w:tcBorders>
          </w:tcPr>
          <w:p w14:paraId="20A3246F" w14:textId="77777777" w:rsidR="007D2B25" w:rsidRPr="00E67598" w:rsidRDefault="007D2B25" w:rsidP="00E47A46">
            <w:pPr>
              <w:pStyle w:val="NormalNoSpacing"/>
              <w:spacing w:before="120" w:after="120"/>
              <w:contextualSpacing w:val="0"/>
            </w:pPr>
          </w:p>
        </w:tc>
      </w:tr>
      <w:tr w:rsidR="007D2B25" w:rsidRPr="00FB4BE6" w14:paraId="07C4619E" w14:textId="77777777" w:rsidTr="006D1F6E">
        <w:trPr>
          <w:trHeight w:val="20"/>
        </w:trPr>
        <w:tc>
          <w:tcPr>
            <w:tcW w:w="9638" w:type="dxa"/>
            <w:tcBorders>
              <w:top w:val="single" w:sz="4" w:space="0" w:color="000000" w:themeColor="text1"/>
            </w:tcBorders>
          </w:tcPr>
          <w:p w14:paraId="4210561D" w14:textId="77777777" w:rsidR="007D2B25" w:rsidRPr="00E67598" w:rsidRDefault="007D2B25" w:rsidP="00E47A46">
            <w:pPr>
              <w:pStyle w:val="NormalNoSpacing"/>
              <w:spacing w:before="120" w:after="120"/>
              <w:contextualSpacing w:val="0"/>
            </w:pPr>
          </w:p>
        </w:tc>
      </w:tr>
      <w:tr w:rsidR="007D2B25" w:rsidRPr="00FB4BE6" w14:paraId="51782BCA" w14:textId="77777777" w:rsidTr="006D1F6E">
        <w:trPr>
          <w:trHeight w:val="20"/>
        </w:trPr>
        <w:tc>
          <w:tcPr>
            <w:tcW w:w="9638" w:type="dxa"/>
          </w:tcPr>
          <w:p w14:paraId="13E19E07" w14:textId="77777777" w:rsidR="007D2B25" w:rsidRPr="00E67598" w:rsidRDefault="007D2B25" w:rsidP="00E47A46">
            <w:pPr>
              <w:pStyle w:val="NormalNoSpacing"/>
              <w:spacing w:before="120" w:after="120"/>
              <w:contextualSpacing w:val="0"/>
            </w:pPr>
          </w:p>
        </w:tc>
      </w:tr>
    </w:tbl>
    <w:p w14:paraId="6CBD95D1" w14:textId="77777777" w:rsidR="005131AD" w:rsidRDefault="005131AD" w:rsidP="005131AD"/>
    <w:p w14:paraId="4AB09837" w14:textId="77777777" w:rsidR="005131AD" w:rsidRDefault="005131AD" w:rsidP="005131AD"/>
    <w:p w14:paraId="4B834446" w14:textId="114059B1" w:rsidR="007D2B25" w:rsidRDefault="007D2B25" w:rsidP="005131AD">
      <w:pPr>
        <w:pStyle w:val="Heading1"/>
        <w:numPr>
          <w:ilvl w:val="0"/>
          <w:numId w:val="0"/>
        </w:numPr>
      </w:pPr>
      <w:r>
        <w:t>Activity 2</w:t>
      </w:r>
    </w:p>
    <w:p w14:paraId="05DF00A2" w14:textId="77777777" w:rsidR="007D2B25" w:rsidRDefault="007D2B25" w:rsidP="007D2B25">
      <w:pPr>
        <w:pStyle w:val="Heading2"/>
      </w:pPr>
      <w:r>
        <w:t>Research Task</w:t>
      </w:r>
    </w:p>
    <w:p w14:paraId="5727FA1A" w14:textId="77777777" w:rsidR="007D2B25" w:rsidRDefault="007D2B25" w:rsidP="007D2B25">
      <w:pPr>
        <w:rPr>
          <w:rFonts w:cstheme="minorHAnsi"/>
          <w:szCs w:val="22"/>
        </w:rPr>
      </w:pPr>
      <w:r>
        <w:rPr>
          <w:rFonts w:cstheme="minorHAnsi"/>
        </w:rPr>
        <w:t xml:space="preserve">Go to </w:t>
      </w:r>
      <w:hyperlink r:id="rId10" w:history="1">
        <w:r>
          <w:rPr>
            <w:rStyle w:val="Hyperlink"/>
            <w:rFonts w:cstheme="minorHAnsi"/>
          </w:rPr>
          <w:t>https://www.energyres.com.au/</w:t>
        </w:r>
      </w:hyperlink>
      <w:r>
        <w:rPr>
          <w:rFonts w:cstheme="minorHAnsi"/>
        </w:rPr>
        <w:t xml:space="preserve">  and watch the video titled ‘</w:t>
      </w:r>
      <w:r>
        <w:rPr>
          <w:rFonts w:cstheme="minorHAnsi"/>
          <w:i/>
          <w:iCs/>
        </w:rPr>
        <w:t>Get to know the new ERA’</w:t>
      </w:r>
      <w:r>
        <w:rPr>
          <w:rFonts w:cstheme="minorHAnsi"/>
        </w:rPr>
        <w:t xml:space="preserve"> to better understand the purposes, values, and priorities of ERA Ltd.</w:t>
      </w:r>
    </w:p>
    <w:p w14:paraId="33B29A94" w14:textId="77777777" w:rsidR="007D2B25" w:rsidRDefault="007D2B25" w:rsidP="007D2B25">
      <w:pPr>
        <w:rPr>
          <w:rFonts w:cstheme="minorHAnsi"/>
        </w:rPr>
      </w:pPr>
      <w:r>
        <w:rPr>
          <w:rFonts w:cstheme="minorHAnsi"/>
        </w:rPr>
        <w:t>Create a research report or presentation on Energy Resources of Australia Ltd. In your report/ presentation you should address the following criteria:</w:t>
      </w:r>
    </w:p>
    <w:p w14:paraId="65E0DF27" w14:textId="77777777" w:rsidR="007D2B25" w:rsidRDefault="007D2B25" w:rsidP="006D1F6E">
      <w:pPr>
        <w:pStyle w:val="ListBullet"/>
        <w:numPr>
          <w:ilvl w:val="0"/>
          <w:numId w:val="29"/>
        </w:numPr>
      </w:pPr>
      <w:r w:rsidRPr="008846FD">
        <w:rPr>
          <w:b/>
          <w:bCs/>
          <w:u w:val="single"/>
        </w:rPr>
        <w:t>Identify</w:t>
      </w:r>
      <w:r>
        <w:t xml:space="preserve"> the stakeholders of the business.</w:t>
      </w:r>
    </w:p>
    <w:p w14:paraId="7EDDCEA1" w14:textId="77777777" w:rsidR="007D2B25" w:rsidRDefault="007D2B25" w:rsidP="006D1F6E">
      <w:pPr>
        <w:pStyle w:val="ListBullet"/>
        <w:numPr>
          <w:ilvl w:val="0"/>
          <w:numId w:val="29"/>
        </w:numPr>
      </w:pPr>
      <w:r w:rsidRPr="008846FD">
        <w:rPr>
          <w:b/>
          <w:bCs/>
          <w:u w:val="single"/>
        </w:rPr>
        <w:t>Outline</w:t>
      </w:r>
      <w:r>
        <w:t xml:space="preserve"> the history of ERA Ltd.</w:t>
      </w:r>
    </w:p>
    <w:p w14:paraId="1E4CF32C" w14:textId="77777777" w:rsidR="007D2B25" w:rsidRDefault="007D2B25" w:rsidP="006D1F6E">
      <w:pPr>
        <w:pStyle w:val="ListBullet"/>
        <w:numPr>
          <w:ilvl w:val="0"/>
          <w:numId w:val="29"/>
        </w:numPr>
      </w:pPr>
      <w:r w:rsidRPr="008846FD">
        <w:rPr>
          <w:b/>
          <w:bCs/>
          <w:u w:val="single"/>
        </w:rPr>
        <w:t>Analyse</w:t>
      </w:r>
      <w:r>
        <w:t xml:space="preserve"> a project that ERA is currently working on. How will this project benefit the environment and the local Indigenous people?</w:t>
      </w:r>
    </w:p>
    <w:p w14:paraId="09199C0E" w14:textId="5BE643EB" w:rsidR="00D2448F" w:rsidRDefault="007D2B25" w:rsidP="006D1F6E">
      <w:pPr>
        <w:pStyle w:val="ListParagraph"/>
        <w:numPr>
          <w:ilvl w:val="0"/>
          <w:numId w:val="29"/>
        </w:numPr>
      </w:pPr>
      <w:r w:rsidRPr="008846FD">
        <w:t>Using examples from your research</w:t>
      </w:r>
      <w:r w:rsidRPr="006D1F6E">
        <w:rPr>
          <w:b/>
          <w:bCs/>
        </w:rPr>
        <w:t xml:space="preserve">, </w:t>
      </w:r>
      <w:r w:rsidRPr="006D1F6E">
        <w:rPr>
          <w:b/>
          <w:bCs/>
          <w:u w:val="single"/>
        </w:rPr>
        <w:t>discuss</w:t>
      </w:r>
      <w:r w:rsidRPr="008846FD">
        <w:t xml:space="preserve"> the importance of Environment, Social, Governance (ESG) in relation to ERA Ltd. (You should address every component of ESG)</w:t>
      </w:r>
      <w:r>
        <w:t>.</w:t>
      </w:r>
    </w:p>
    <w:p w14:paraId="2BC882BC" w14:textId="1A6183AD" w:rsidR="00D2448F" w:rsidRDefault="00D2448F">
      <w:pPr>
        <w:adjustRightInd/>
        <w:snapToGrid/>
        <w:spacing w:after="0" w:line="240" w:lineRule="auto"/>
      </w:pPr>
    </w:p>
    <w:p w14:paraId="27DFB322" w14:textId="77777777" w:rsidR="0012332E" w:rsidRDefault="0012332E" w:rsidP="00CC27D8">
      <w:pPr>
        <w:pStyle w:val="Heading2"/>
      </w:pPr>
      <w:bookmarkStart w:id="0" w:name="_Hlk200649120"/>
      <w:r w:rsidRPr="0062455C">
        <w:t>T</w:t>
      </w:r>
      <w:r>
        <w:t>erminology (skill directives)</w:t>
      </w:r>
    </w:p>
    <w:tbl>
      <w:tblPr>
        <w:tblStyle w:val="ASXTable"/>
        <w:tblW w:w="0" w:type="auto"/>
        <w:tblLook w:val="0480" w:firstRow="0" w:lastRow="0" w:firstColumn="1" w:lastColumn="0" w:noHBand="0" w:noVBand="1"/>
      </w:tblPr>
      <w:tblGrid>
        <w:gridCol w:w="1701"/>
        <w:gridCol w:w="8493"/>
      </w:tblGrid>
      <w:tr w:rsidR="0012332E" w14:paraId="393C44E4" w14:textId="77777777" w:rsidTr="0044198A">
        <w:tc>
          <w:tcPr>
            <w:tcW w:w="1701" w:type="dxa"/>
            <w:tcBorders>
              <w:top w:val="single" w:sz="4" w:space="0" w:color="auto"/>
            </w:tcBorders>
          </w:tcPr>
          <w:p w14:paraId="5C1F0B98" w14:textId="4B0496D1" w:rsidR="0012332E" w:rsidRPr="001F4848" w:rsidRDefault="007D2B25" w:rsidP="00CC27D8">
            <w:pPr>
              <w:pStyle w:val="NormalNoSpacing"/>
              <w:spacing w:before="40" w:after="40"/>
              <w:contextualSpacing w:val="0"/>
              <w:rPr>
                <w:b/>
                <w:bCs/>
              </w:rPr>
            </w:pPr>
            <w:r w:rsidRPr="007D2B25">
              <w:rPr>
                <w:b/>
                <w:bCs/>
              </w:rPr>
              <w:t>Analyse</w:t>
            </w:r>
          </w:p>
        </w:tc>
        <w:tc>
          <w:tcPr>
            <w:tcW w:w="8493" w:type="dxa"/>
            <w:tcBorders>
              <w:top w:val="single" w:sz="4" w:space="0" w:color="auto"/>
            </w:tcBorders>
          </w:tcPr>
          <w:p w14:paraId="2E0CB9AF" w14:textId="3452E4EA" w:rsidR="0012332E" w:rsidRDefault="007D2B25" w:rsidP="00CC27D8">
            <w:pPr>
              <w:pStyle w:val="NormalNoSpacing"/>
              <w:spacing w:before="40" w:after="40"/>
              <w:contextualSpacing w:val="0"/>
            </w:pPr>
            <w:r w:rsidRPr="007D2B25">
              <w:t>Identify components and the relationship between them; draw out and relate implications</w:t>
            </w:r>
            <w:r w:rsidR="006D1F6E">
              <w:t>.</w:t>
            </w:r>
          </w:p>
        </w:tc>
      </w:tr>
      <w:tr w:rsidR="0012332E" w14:paraId="1948BC25" w14:textId="77777777" w:rsidTr="0044198A">
        <w:tc>
          <w:tcPr>
            <w:tcW w:w="1701" w:type="dxa"/>
          </w:tcPr>
          <w:p w14:paraId="582BC242" w14:textId="2A513958" w:rsidR="0012332E" w:rsidRPr="001F4848" w:rsidRDefault="007D2B25" w:rsidP="00CC27D8">
            <w:pPr>
              <w:pStyle w:val="NormalNoSpacing"/>
              <w:spacing w:before="40" w:after="40"/>
              <w:contextualSpacing w:val="0"/>
              <w:rPr>
                <w:b/>
                <w:bCs/>
              </w:rPr>
            </w:pPr>
            <w:r w:rsidRPr="007D2B25">
              <w:rPr>
                <w:b/>
                <w:bCs/>
              </w:rPr>
              <w:t>Define</w:t>
            </w:r>
          </w:p>
        </w:tc>
        <w:tc>
          <w:tcPr>
            <w:tcW w:w="8493" w:type="dxa"/>
          </w:tcPr>
          <w:p w14:paraId="21C8393E" w14:textId="6B24A585" w:rsidR="0012332E" w:rsidRPr="00F04E33" w:rsidRDefault="007D2B25" w:rsidP="00CC27D8">
            <w:pPr>
              <w:spacing w:before="40" w:after="40"/>
              <w:rPr>
                <w:rFonts w:cstheme="minorHAnsi"/>
                <w:color w:val="222222"/>
                <w:shd w:val="clear" w:color="auto" w:fill="FFFFFF"/>
              </w:rPr>
            </w:pPr>
            <w:r w:rsidRPr="007D2B25">
              <w:rPr>
                <w:rFonts w:cstheme="minorHAnsi"/>
                <w:color w:val="222222"/>
                <w:shd w:val="clear" w:color="auto" w:fill="FFFFFF"/>
              </w:rPr>
              <w:t>State meaning and identify essential qualities</w:t>
            </w:r>
            <w:r w:rsidR="006D1F6E">
              <w:rPr>
                <w:rFonts w:cstheme="minorHAnsi"/>
                <w:color w:val="222222"/>
                <w:shd w:val="clear" w:color="auto" w:fill="FFFFFF"/>
              </w:rPr>
              <w:t>.</w:t>
            </w:r>
          </w:p>
        </w:tc>
      </w:tr>
      <w:tr w:rsidR="0012332E" w14:paraId="3BCEF357" w14:textId="77777777" w:rsidTr="0044198A">
        <w:tc>
          <w:tcPr>
            <w:tcW w:w="1701" w:type="dxa"/>
          </w:tcPr>
          <w:p w14:paraId="166688E6" w14:textId="1C36B361" w:rsidR="0012332E" w:rsidRPr="001F4848" w:rsidRDefault="007D2B25" w:rsidP="00CC27D8">
            <w:pPr>
              <w:pStyle w:val="NormalNoSpacing"/>
              <w:spacing w:before="40" w:after="40"/>
              <w:contextualSpacing w:val="0"/>
              <w:rPr>
                <w:b/>
                <w:bCs/>
              </w:rPr>
            </w:pPr>
            <w:r w:rsidRPr="007D2B25">
              <w:rPr>
                <w:b/>
                <w:bCs/>
              </w:rPr>
              <w:t>Discuss</w:t>
            </w:r>
          </w:p>
        </w:tc>
        <w:tc>
          <w:tcPr>
            <w:tcW w:w="8493" w:type="dxa"/>
          </w:tcPr>
          <w:p w14:paraId="769E8E88" w14:textId="77EEC837" w:rsidR="0012332E" w:rsidRPr="00684C23" w:rsidRDefault="007D2B25" w:rsidP="00CC27D8">
            <w:pPr>
              <w:spacing w:before="40" w:after="40"/>
            </w:pPr>
            <w:r w:rsidRPr="007D2B25">
              <w:t>Identify issues and provide points for and/or against</w:t>
            </w:r>
            <w:r w:rsidR="006D1F6E">
              <w:t>.</w:t>
            </w:r>
          </w:p>
        </w:tc>
      </w:tr>
      <w:tr w:rsidR="0012332E" w14:paraId="16A0166F" w14:textId="77777777" w:rsidTr="0044198A">
        <w:tc>
          <w:tcPr>
            <w:tcW w:w="1701" w:type="dxa"/>
          </w:tcPr>
          <w:p w14:paraId="0336B8F8" w14:textId="5876781C" w:rsidR="0012332E" w:rsidRDefault="007D2B25" w:rsidP="00CC27D8">
            <w:pPr>
              <w:pStyle w:val="NormalNoSpacing"/>
              <w:spacing w:before="40" w:after="40"/>
              <w:contextualSpacing w:val="0"/>
              <w:rPr>
                <w:b/>
                <w:bCs/>
              </w:rPr>
            </w:pPr>
            <w:r w:rsidRPr="007D2B25">
              <w:rPr>
                <w:b/>
                <w:bCs/>
              </w:rPr>
              <w:t>Explain</w:t>
            </w:r>
          </w:p>
        </w:tc>
        <w:tc>
          <w:tcPr>
            <w:tcW w:w="8493" w:type="dxa"/>
          </w:tcPr>
          <w:p w14:paraId="6562B3FE" w14:textId="1E83CB36" w:rsidR="0012332E" w:rsidRPr="00684C23" w:rsidRDefault="007D2B25" w:rsidP="00CC27D8">
            <w:pPr>
              <w:spacing w:before="40" w:after="40"/>
            </w:pPr>
            <w:r w:rsidRPr="007D2B25">
              <w:t>Relate cause and effect; make the relationships between things evident; provide why and/or how</w:t>
            </w:r>
            <w:r w:rsidR="006D1F6E">
              <w:t>.</w:t>
            </w:r>
          </w:p>
        </w:tc>
      </w:tr>
      <w:tr w:rsidR="00EB1A9F" w14:paraId="1754D20D" w14:textId="77777777" w:rsidTr="0044198A">
        <w:tc>
          <w:tcPr>
            <w:tcW w:w="1701" w:type="dxa"/>
          </w:tcPr>
          <w:p w14:paraId="78807C7A" w14:textId="168FAADE" w:rsidR="00EB1A9F" w:rsidRDefault="007D2B25" w:rsidP="00CC27D8">
            <w:pPr>
              <w:pStyle w:val="NormalNoSpacing"/>
              <w:spacing w:before="40" w:after="40"/>
              <w:contextualSpacing w:val="0"/>
              <w:rPr>
                <w:b/>
                <w:bCs/>
              </w:rPr>
            </w:pPr>
            <w:r w:rsidRPr="007D2B25">
              <w:rPr>
                <w:b/>
                <w:bCs/>
              </w:rPr>
              <w:t>Identify</w:t>
            </w:r>
          </w:p>
        </w:tc>
        <w:tc>
          <w:tcPr>
            <w:tcW w:w="8493" w:type="dxa"/>
          </w:tcPr>
          <w:p w14:paraId="7434595A" w14:textId="07186606" w:rsidR="00EB1A9F" w:rsidRPr="0012332E" w:rsidRDefault="007D2B25" w:rsidP="00CC27D8">
            <w:pPr>
              <w:spacing w:before="40" w:after="40"/>
            </w:pPr>
            <w:r w:rsidRPr="007D2B25">
              <w:t>Recognise and name; Establish or indicate who or what someone or something is.</w:t>
            </w:r>
          </w:p>
        </w:tc>
      </w:tr>
      <w:tr w:rsidR="007D2B25" w14:paraId="1E35917E" w14:textId="77777777" w:rsidTr="0044198A">
        <w:tc>
          <w:tcPr>
            <w:tcW w:w="1701" w:type="dxa"/>
          </w:tcPr>
          <w:p w14:paraId="5570D36E" w14:textId="4896C37D" w:rsidR="007D2B25" w:rsidRPr="007D2B25" w:rsidRDefault="007D2B25" w:rsidP="00CC27D8">
            <w:pPr>
              <w:pStyle w:val="NormalNoSpacing"/>
              <w:spacing w:before="40" w:after="40"/>
              <w:contextualSpacing w:val="0"/>
              <w:rPr>
                <w:b/>
                <w:bCs/>
              </w:rPr>
            </w:pPr>
            <w:r w:rsidRPr="007D2B25">
              <w:rPr>
                <w:b/>
                <w:bCs/>
              </w:rPr>
              <w:t>Outline</w:t>
            </w:r>
          </w:p>
        </w:tc>
        <w:tc>
          <w:tcPr>
            <w:tcW w:w="8493" w:type="dxa"/>
          </w:tcPr>
          <w:p w14:paraId="646BFF7F" w14:textId="41179961" w:rsidR="007D2B25" w:rsidRPr="0012332E" w:rsidRDefault="007D2B25" w:rsidP="00CC27D8">
            <w:pPr>
              <w:spacing w:before="40" w:after="40"/>
            </w:pPr>
            <w:r w:rsidRPr="007D2B25">
              <w:t>Sketch in general terms; indicate the main features of; plan, collect and interpret data/information and draw conclusions about</w:t>
            </w:r>
            <w:r w:rsidR="006D1F6E">
              <w:t>.</w:t>
            </w:r>
          </w:p>
        </w:tc>
      </w:tr>
    </w:tbl>
    <w:p w14:paraId="24257074" w14:textId="77777777" w:rsidR="007D2B25" w:rsidRDefault="007D2B25" w:rsidP="007D2B25">
      <w:pPr>
        <w:pStyle w:val="TableText"/>
      </w:pPr>
    </w:p>
    <w:p w14:paraId="0D0A0D2B" w14:textId="4B57D3C7" w:rsidR="0012332E" w:rsidRPr="0062455C" w:rsidRDefault="0012332E" w:rsidP="0012332E">
      <w:pPr>
        <w:pStyle w:val="Heading1"/>
        <w:rPr>
          <w:iCs/>
        </w:rPr>
      </w:pPr>
      <w:r w:rsidRPr="0062455C">
        <w:t>Glossary</w:t>
      </w:r>
    </w:p>
    <w:tbl>
      <w:tblPr>
        <w:tblStyle w:val="ASXTable"/>
        <w:tblW w:w="0" w:type="auto"/>
        <w:tblLook w:val="0480" w:firstRow="0" w:lastRow="0" w:firstColumn="1" w:lastColumn="0" w:noHBand="0" w:noVBand="1"/>
      </w:tblPr>
      <w:tblGrid>
        <w:gridCol w:w="1701"/>
        <w:gridCol w:w="8493"/>
      </w:tblGrid>
      <w:tr w:rsidR="0012332E" w14:paraId="23222ED0" w14:textId="77777777" w:rsidTr="003847B4">
        <w:tc>
          <w:tcPr>
            <w:tcW w:w="1701" w:type="dxa"/>
            <w:tcBorders>
              <w:top w:val="single" w:sz="4" w:space="0" w:color="auto"/>
            </w:tcBorders>
            <w:vAlign w:val="center"/>
          </w:tcPr>
          <w:p w14:paraId="2E061038" w14:textId="5A95B54C" w:rsidR="0012332E" w:rsidRPr="003847B4" w:rsidRDefault="007D2B25" w:rsidP="00CC27D8">
            <w:pPr>
              <w:pStyle w:val="NormalNoSpacing"/>
              <w:spacing w:before="40" w:after="40"/>
              <w:contextualSpacing w:val="0"/>
              <w:rPr>
                <w:b/>
                <w:bCs/>
              </w:rPr>
            </w:pPr>
            <w:r w:rsidRPr="007D2B25">
              <w:rPr>
                <w:b/>
                <w:bCs/>
              </w:rPr>
              <w:t>Cash Flow</w:t>
            </w:r>
          </w:p>
        </w:tc>
        <w:tc>
          <w:tcPr>
            <w:tcW w:w="8493" w:type="dxa"/>
            <w:tcBorders>
              <w:top w:val="single" w:sz="4" w:space="0" w:color="auto"/>
            </w:tcBorders>
            <w:vAlign w:val="center"/>
          </w:tcPr>
          <w:p w14:paraId="39A8FDED" w14:textId="43702A9B" w:rsidR="0012332E" w:rsidRDefault="007D2B25" w:rsidP="003847B4">
            <w:pPr>
              <w:pStyle w:val="NormalNoSpacing"/>
              <w:spacing w:before="40" w:after="40"/>
              <w:contextualSpacing w:val="0"/>
            </w:pPr>
            <w:r w:rsidRPr="007D2B25">
              <w:t>The money coming into and leaving a business.</w:t>
            </w:r>
          </w:p>
        </w:tc>
      </w:tr>
      <w:tr w:rsidR="0012332E" w14:paraId="5F173D12" w14:textId="77777777" w:rsidTr="003847B4">
        <w:tc>
          <w:tcPr>
            <w:tcW w:w="1701" w:type="dxa"/>
            <w:vAlign w:val="center"/>
          </w:tcPr>
          <w:p w14:paraId="716AA080" w14:textId="74267B04" w:rsidR="0012332E" w:rsidRPr="003847B4" w:rsidRDefault="007D2B25" w:rsidP="00CC27D8">
            <w:pPr>
              <w:pStyle w:val="NormalNoSpacing"/>
              <w:spacing w:before="40" w:after="40"/>
              <w:contextualSpacing w:val="0"/>
              <w:rPr>
                <w:b/>
                <w:bCs/>
              </w:rPr>
            </w:pPr>
            <w:r w:rsidRPr="007D2B25">
              <w:rPr>
                <w:b/>
                <w:bCs/>
              </w:rPr>
              <w:t>Chief Executive Officer (CEO)</w:t>
            </w:r>
          </w:p>
        </w:tc>
        <w:tc>
          <w:tcPr>
            <w:tcW w:w="8493" w:type="dxa"/>
            <w:vAlign w:val="center"/>
          </w:tcPr>
          <w:p w14:paraId="229C3E85" w14:textId="23666BE6" w:rsidR="0012332E" w:rsidRPr="00F04E33" w:rsidRDefault="007D2B25" w:rsidP="003847B4">
            <w:pPr>
              <w:spacing w:before="40" w:after="40"/>
              <w:rPr>
                <w:rFonts w:cstheme="minorHAnsi"/>
                <w:color w:val="222222"/>
                <w:shd w:val="clear" w:color="auto" w:fill="FFFFFF"/>
              </w:rPr>
            </w:pPr>
            <w:r w:rsidRPr="007D2B25">
              <w:rPr>
                <w:rFonts w:cstheme="minorHAnsi"/>
                <w:color w:val="222222"/>
                <w:shd w:val="clear" w:color="auto" w:fill="FFFFFF"/>
              </w:rPr>
              <w:t>The highest position in an organisation and is responsible for ensuring the fulfilment of the vision, mission, and values of an organisation through strategic planning, leadership management.</w:t>
            </w:r>
          </w:p>
        </w:tc>
      </w:tr>
      <w:tr w:rsidR="0012332E" w14:paraId="297A4A67" w14:textId="77777777" w:rsidTr="003847B4">
        <w:tc>
          <w:tcPr>
            <w:tcW w:w="1701" w:type="dxa"/>
            <w:vAlign w:val="center"/>
          </w:tcPr>
          <w:p w14:paraId="5EF02C5F" w14:textId="06AE9220" w:rsidR="0012332E" w:rsidRPr="003847B4" w:rsidRDefault="007D2B25" w:rsidP="00CC27D8">
            <w:pPr>
              <w:pStyle w:val="NormalNoSpacing"/>
              <w:spacing w:before="40" w:after="40"/>
              <w:contextualSpacing w:val="0"/>
              <w:rPr>
                <w:rFonts w:cstheme="minorHAnsi"/>
                <w:b/>
                <w:bCs/>
              </w:rPr>
            </w:pPr>
            <w:r w:rsidRPr="007D2B25">
              <w:rPr>
                <w:rFonts w:cstheme="minorHAnsi"/>
                <w:b/>
                <w:bCs/>
              </w:rPr>
              <w:t>Competitive Advantage</w:t>
            </w:r>
          </w:p>
        </w:tc>
        <w:tc>
          <w:tcPr>
            <w:tcW w:w="8493" w:type="dxa"/>
            <w:vAlign w:val="center"/>
          </w:tcPr>
          <w:p w14:paraId="3EE31A72" w14:textId="09E4FD7F" w:rsidR="0012332E" w:rsidRPr="00CE5DDF" w:rsidRDefault="007D2B25" w:rsidP="003847B4">
            <w:pPr>
              <w:pStyle w:val="NormalNoSpacing"/>
              <w:spacing w:before="40" w:after="40"/>
              <w:contextualSpacing w:val="0"/>
            </w:pPr>
            <w:r w:rsidRPr="007D2B25">
              <w:t>Having a distinct advantage over other businesses based on measures such as market share, profitability, sales.</w:t>
            </w:r>
          </w:p>
        </w:tc>
      </w:tr>
      <w:tr w:rsidR="0012332E" w14:paraId="57D07F95" w14:textId="77777777" w:rsidTr="003847B4">
        <w:tc>
          <w:tcPr>
            <w:tcW w:w="1701" w:type="dxa"/>
            <w:vAlign w:val="center"/>
          </w:tcPr>
          <w:p w14:paraId="286E66E6" w14:textId="220FD651" w:rsidR="0012332E" w:rsidRPr="003847B4" w:rsidRDefault="007D2B25" w:rsidP="00CC27D8">
            <w:pPr>
              <w:pStyle w:val="NormalNoSpacing"/>
              <w:spacing w:before="40" w:after="40"/>
              <w:contextualSpacing w:val="0"/>
              <w:rPr>
                <w:rFonts w:cstheme="minorHAnsi"/>
                <w:b/>
                <w:bCs/>
              </w:rPr>
            </w:pPr>
            <w:r w:rsidRPr="007D2B25">
              <w:rPr>
                <w:rFonts w:cstheme="minorHAnsi"/>
                <w:b/>
                <w:bCs/>
              </w:rPr>
              <w:t>Environmental, Social, and Corporate Governance (ESG)</w:t>
            </w:r>
          </w:p>
        </w:tc>
        <w:tc>
          <w:tcPr>
            <w:tcW w:w="8493" w:type="dxa"/>
            <w:vAlign w:val="center"/>
          </w:tcPr>
          <w:p w14:paraId="2E6E4818" w14:textId="5B88A587" w:rsidR="0012332E" w:rsidRPr="003847B4" w:rsidRDefault="006D1F6E" w:rsidP="003847B4">
            <w:pPr>
              <w:pStyle w:val="NormalNoSpacing"/>
              <w:spacing w:before="40" w:after="40"/>
              <w:rPr>
                <w:rFonts w:cstheme="minorHAnsi"/>
              </w:rPr>
            </w:pPr>
            <w:r>
              <w:rPr>
                <w:rFonts w:cstheme="minorHAnsi"/>
              </w:rPr>
              <w:t>T</w:t>
            </w:r>
            <w:r w:rsidR="007D2B25" w:rsidRPr="007D2B25">
              <w:rPr>
                <w:rFonts w:cstheme="minorHAnsi"/>
              </w:rPr>
              <w:t>erm used to describe a company’s commitment to ensure that they contribute positively to the world community through their policies and day-to-day operations. This may be achieved by addressing the issues of climate change through their corporate policies and operations, or how they manage relationships with their stakeholders such as employees, suppliers, customers, and the wider community. They go beyond legal requirements, ensure transparency, ethical actions, and social justice.</w:t>
            </w:r>
          </w:p>
        </w:tc>
      </w:tr>
      <w:tr w:rsidR="003847B4" w14:paraId="1F9A6329" w14:textId="77777777" w:rsidTr="003847B4">
        <w:tc>
          <w:tcPr>
            <w:tcW w:w="1701" w:type="dxa"/>
            <w:vAlign w:val="center"/>
          </w:tcPr>
          <w:p w14:paraId="5B30575D" w14:textId="74D9A2D1" w:rsidR="003847B4" w:rsidRPr="003847B4" w:rsidRDefault="007D2B25" w:rsidP="00CC27D8">
            <w:pPr>
              <w:pStyle w:val="NormalNoSpacing"/>
              <w:spacing w:before="40" w:after="40"/>
              <w:contextualSpacing w:val="0"/>
              <w:rPr>
                <w:rFonts w:cstheme="minorHAnsi"/>
                <w:b/>
                <w:bCs/>
              </w:rPr>
            </w:pPr>
            <w:r w:rsidRPr="007D2B25">
              <w:rPr>
                <w:rFonts w:cstheme="minorHAnsi"/>
                <w:b/>
                <w:bCs/>
              </w:rPr>
              <w:t>Float</w:t>
            </w:r>
          </w:p>
        </w:tc>
        <w:tc>
          <w:tcPr>
            <w:tcW w:w="8493" w:type="dxa"/>
            <w:vAlign w:val="center"/>
          </w:tcPr>
          <w:p w14:paraId="689462AD" w14:textId="2D7F2970" w:rsidR="003847B4" w:rsidRPr="00EB1A9F" w:rsidRDefault="007D2B25" w:rsidP="003847B4">
            <w:pPr>
              <w:pStyle w:val="NormalNoSpacing"/>
              <w:spacing w:before="40" w:after="40"/>
              <w:rPr>
                <w:rFonts w:cstheme="minorHAnsi"/>
              </w:rPr>
            </w:pPr>
            <w:r w:rsidRPr="007D2B25">
              <w:rPr>
                <w:rFonts w:cstheme="minorHAnsi"/>
              </w:rPr>
              <w:t>This is when a company issues shares to the public for the first time. Another term used is Initial Public Offering (IPO).</w:t>
            </w:r>
          </w:p>
        </w:tc>
      </w:tr>
      <w:tr w:rsidR="003847B4" w14:paraId="34FFD359" w14:textId="77777777" w:rsidTr="003847B4">
        <w:tc>
          <w:tcPr>
            <w:tcW w:w="1701" w:type="dxa"/>
            <w:vAlign w:val="center"/>
          </w:tcPr>
          <w:p w14:paraId="68EE00A7" w14:textId="37703F02" w:rsidR="003847B4" w:rsidRPr="003847B4" w:rsidRDefault="007D2B25" w:rsidP="00CC27D8">
            <w:pPr>
              <w:pStyle w:val="NormalNoSpacing"/>
              <w:spacing w:before="40" w:after="40"/>
              <w:contextualSpacing w:val="0"/>
              <w:rPr>
                <w:rFonts w:cstheme="minorHAnsi"/>
                <w:b/>
                <w:bCs/>
              </w:rPr>
            </w:pPr>
            <w:r w:rsidRPr="007D2B25">
              <w:rPr>
                <w:rFonts w:cstheme="minorHAnsi"/>
                <w:b/>
                <w:bCs/>
              </w:rPr>
              <w:lastRenderedPageBreak/>
              <w:t>Managing Director (MD)</w:t>
            </w:r>
          </w:p>
        </w:tc>
        <w:tc>
          <w:tcPr>
            <w:tcW w:w="8493" w:type="dxa"/>
            <w:vAlign w:val="center"/>
          </w:tcPr>
          <w:p w14:paraId="0D9C01DA" w14:textId="6AAF4826" w:rsidR="003847B4" w:rsidRPr="00EB1A9F" w:rsidRDefault="007D2B25" w:rsidP="003847B4">
            <w:pPr>
              <w:pStyle w:val="NormalNoSpacing"/>
              <w:spacing w:before="40" w:after="40"/>
              <w:rPr>
                <w:rFonts w:cstheme="minorHAnsi"/>
              </w:rPr>
            </w:pPr>
            <w:r w:rsidRPr="007D2B25">
              <w:rPr>
                <w:rFonts w:cstheme="minorHAnsi"/>
              </w:rPr>
              <w:t>Includes the responsibilities of that of the CEO and also a representative of the shareholders on the Board of Directors.</w:t>
            </w:r>
          </w:p>
        </w:tc>
      </w:tr>
      <w:tr w:rsidR="003847B4" w14:paraId="751197DC" w14:textId="77777777" w:rsidTr="003847B4">
        <w:tc>
          <w:tcPr>
            <w:tcW w:w="1701" w:type="dxa"/>
            <w:vAlign w:val="center"/>
          </w:tcPr>
          <w:p w14:paraId="0F3BCC7E" w14:textId="0973DCD9" w:rsidR="003847B4" w:rsidRPr="003847B4" w:rsidRDefault="007D2B25" w:rsidP="00CC27D8">
            <w:pPr>
              <w:pStyle w:val="NormalNoSpacing"/>
              <w:spacing w:before="40" w:after="40"/>
              <w:contextualSpacing w:val="0"/>
              <w:rPr>
                <w:rFonts w:cstheme="minorHAnsi"/>
                <w:b/>
                <w:bCs/>
              </w:rPr>
            </w:pPr>
            <w:r w:rsidRPr="007D2B25">
              <w:rPr>
                <w:rFonts w:cstheme="minorHAnsi"/>
                <w:b/>
                <w:bCs/>
              </w:rPr>
              <w:t>Stakeholder</w:t>
            </w:r>
          </w:p>
        </w:tc>
        <w:tc>
          <w:tcPr>
            <w:tcW w:w="8493" w:type="dxa"/>
            <w:vAlign w:val="center"/>
          </w:tcPr>
          <w:p w14:paraId="0420B021" w14:textId="7BF236A4" w:rsidR="003847B4" w:rsidRPr="00EB1A9F" w:rsidRDefault="007D2B25" w:rsidP="003847B4">
            <w:pPr>
              <w:pStyle w:val="NormalNoSpacing"/>
              <w:spacing w:before="40" w:after="40"/>
              <w:rPr>
                <w:rFonts w:cstheme="minorHAnsi"/>
              </w:rPr>
            </w:pPr>
            <w:r w:rsidRPr="007D2B25">
              <w:rPr>
                <w:rFonts w:cstheme="minorHAnsi"/>
              </w:rPr>
              <w:t>Someone holding a concern or interest in a business.</w:t>
            </w:r>
          </w:p>
        </w:tc>
      </w:tr>
      <w:tr w:rsidR="003847B4" w14:paraId="59ED95A7" w14:textId="77777777" w:rsidTr="003847B4">
        <w:tc>
          <w:tcPr>
            <w:tcW w:w="1701" w:type="dxa"/>
            <w:vAlign w:val="center"/>
          </w:tcPr>
          <w:p w14:paraId="5E68E0D7" w14:textId="44D16562" w:rsidR="003847B4" w:rsidRPr="003847B4" w:rsidRDefault="007D2B25" w:rsidP="00CC27D8">
            <w:pPr>
              <w:pStyle w:val="NormalNoSpacing"/>
              <w:spacing w:before="40" w:after="40"/>
              <w:contextualSpacing w:val="0"/>
              <w:rPr>
                <w:rFonts w:cstheme="minorHAnsi"/>
                <w:b/>
                <w:bCs/>
              </w:rPr>
            </w:pPr>
            <w:r w:rsidRPr="007D2B25">
              <w:rPr>
                <w:rFonts w:cstheme="minorHAnsi"/>
                <w:b/>
                <w:bCs/>
              </w:rPr>
              <w:t>Values</w:t>
            </w:r>
          </w:p>
        </w:tc>
        <w:tc>
          <w:tcPr>
            <w:tcW w:w="8493" w:type="dxa"/>
            <w:vAlign w:val="center"/>
          </w:tcPr>
          <w:p w14:paraId="7886796F" w14:textId="6A477FD5" w:rsidR="003847B4" w:rsidRPr="00EB1A9F" w:rsidRDefault="007D2B25" w:rsidP="003847B4">
            <w:pPr>
              <w:pStyle w:val="NormalNoSpacing"/>
              <w:spacing w:before="40" w:after="40"/>
              <w:rPr>
                <w:rFonts w:cstheme="minorHAnsi"/>
              </w:rPr>
            </w:pPr>
            <w:r w:rsidRPr="007D2B25">
              <w:rPr>
                <w:rFonts w:cstheme="minorHAnsi"/>
              </w:rPr>
              <w:t>Things held in the highest regard in an organisation and are central to all decision making.</w:t>
            </w:r>
          </w:p>
        </w:tc>
      </w:tr>
      <w:bookmarkEnd w:id="0"/>
    </w:tbl>
    <w:p w14:paraId="3002E78A" w14:textId="77777777" w:rsidR="00A17F7B" w:rsidRDefault="00A17F7B" w:rsidP="0057586D">
      <w:pPr>
        <w:adjustRightInd/>
        <w:snapToGrid/>
        <w:spacing w:after="0" w:line="240" w:lineRule="auto"/>
      </w:pPr>
    </w:p>
    <w:sectPr w:rsidR="00A17F7B" w:rsidSect="00283AF9">
      <w:headerReference w:type="default" r:id="rId11"/>
      <w:footerReference w:type="default" r:id="rId12"/>
      <w:headerReference w:type="first" r:id="rId13"/>
      <w:footerReference w:type="first" r:id="rId14"/>
      <w:pgSz w:w="11906" w:h="16838" w:code="9"/>
      <w:pgMar w:top="737" w:right="851" w:bottom="1247"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7"/>
    </w:tblGrid>
    <w:tr w:rsidR="00970524" w:rsidRPr="00BB56AD" w14:paraId="208ABFB0" w14:textId="77777777" w:rsidTr="00970524">
      <w:tc>
        <w:tcPr>
          <w:tcW w:w="5097" w:type="dxa"/>
        </w:tcPr>
        <w:p w14:paraId="605DEA1F" w14:textId="76581E2C" w:rsidR="00970524" w:rsidRPr="00283AF9" w:rsidRDefault="00B16C9A" w:rsidP="00970524">
          <w:pPr>
            <w:pStyle w:val="NormalNoSpacing"/>
            <w:rPr>
              <w:rFonts w:cstheme="minorHAnsi"/>
            </w:rPr>
          </w:pPr>
          <w:r>
            <w:rPr>
              <w:rFonts w:cstheme="minorHAnsi"/>
              <w:b/>
              <w:bCs/>
            </w:rPr>
            <w:t xml:space="preserve">School </w:t>
          </w:r>
          <w:proofErr w:type="spellStart"/>
          <w:r w:rsidR="004902FD" w:rsidRPr="004902FD">
            <w:rPr>
              <w:rFonts w:cstheme="minorHAnsi"/>
              <w:b/>
              <w:bCs/>
            </w:rPr>
            <w:t>Sharemarket</w:t>
          </w:r>
          <w:proofErr w:type="spellEnd"/>
          <w:r w:rsidR="004902FD" w:rsidRPr="004902FD">
            <w:rPr>
              <w:rFonts w:cstheme="minorHAnsi"/>
              <w:b/>
              <w:bCs/>
            </w:rPr>
            <w:t xml:space="preserve"> Game</w:t>
          </w:r>
          <w:r w:rsidR="004902FD">
            <w:rPr>
              <w:rFonts w:cstheme="minorHAnsi"/>
            </w:rPr>
            <w:br/>
          </w:r>
          <w:sdt>
            <w:sdtPr>
              <w:rPr>
                <w:rFonts w:cstheme="minorHAnsi"/>
              </w:rPr>
              <w:id w:val="1341118382"/>
              <w:dataBinding w:prefixMappings="xmlns:ns0='ASX_CustomDocumentInfoPanel' " w:xpath="/ns0:MyCustomData[1]/ns0:ASX_DocumentTitle[1]" w:storeItemID="{18EAB90E-768C-445F-80DB-B5D8BB591F22}"/>
              <w:text/>
            </w:sdtPr>
            <w:sdtEndPr/>
            <w:sdtContent>
              <w:r w:rsidR="006D1F6E">
                <w:rPr>
                  <w:rFonts w:cstheme="minorHAnsi"/>
                </w:rPr>
                <w:t>Celebrating indigenous involvement in the ASX</w:t>
              </w:r>
            </w:sdtContent>
          </w:sdt>
        </w:p>
      </w:tc>
      <w:tc>
        <w:tcPr>
          <w:tcW w:w="50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85146167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21B8B06A">
              <wp:simplePos x="0" y="0"/>
              <wp:positionH relativeFrom="page">
                <wp:posOffset>-23751</wp:posOffset>
              </wp:positionH>
              <wp:positionV relativeFrom="paragraph">
                <wp:posOffset>-252094</wp:posOffset>
              </wp:positionV>
              <wp:extent cx="7632000" cy="2470068"/>
              <wp:effectExtent l="0" t="0" r="7620" b="6985"/>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470068"/>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D7BFE" id="Rectangle 2" o:spid="_x0000_s1026" alt="&quot;&quot;" style="position:absolute;margin-left:-1.85pt;margin-top:-19.85pt;width:600.95pt;height:1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0E19D07F" w:rsidR="00C24BA9" w:rsidRPr="00BB56AD" w:rsidRDefault="006D1F6E"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Pr>
                  <w:color w:val="FFFFFF" w:themeColor="background1"/>
                </w:rPr>
                <w:t>s</w:t>
              </w:r>
              <w:r w:rsidR="00B16C9A">
                <w:rPr>
                  <w:color w:val="FFFFFF" w:themeColor="background1"/>
                </w:rPr>
                <w:t xml:space="preserve"> </w:t>
              </w:r>
              <w:proofErr w:type="spellStart"/>
              <w:r w:rsidR="005C65A2">
                <w:rPr>
                  <w:color w:val="FFFFFF" w:themeColor="background1"/>
                </w:rPr>
                <w:t>Sharemarket</w:t>
              </w:r>
              <w:proofErr w:type="spellEnd"/>
              <w:r w:rsidR="005C65A2">
                <w:rPr>
                  <w:color w:val="FFFFFF" w:themeColor="background1"/>
                </w:rPr>
                <w:t xml:space="preserve">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86623459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C2D2F"/>
    <w:multiLevelType w:val="multilevel"/>
    <w:tmpl w:val="052CA8CE"/>
    <w:numStyleLink w:val="ASXBulletList"/>
  </w:abstractNum>
  <w:abstractNum w:abstractNumId="5" w15:restartNumberingAfterBreak="0">
    <w:nsid w:val="09EB2AB8"/>
    <w:multiLevelType w:val="hybridMultilevel"/>
    <w:tmpl w:val="4106D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3535E8"/>
    <w:multiLevelType w:val="multilevel"/>
    <w:tmpl w:val="0E8A2502"/>
    <w:numStyleLink w:val="Normalwitharrow"/>
  </w:abstractNum>
  <w:abstractNum w:abstractNumId="7"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9" w15:restartNumberingAfterBreak="0">
    <w:nsid w:val="12643A87"/>
    <w:multiLevelType w:val="multilevel"/>
    <w:tmpl w:val="B47A5CEE"/>
    <w:numStyleLink w:val="ASXAttachmentListStyle"/>
  </w:abstractNum>
  <w:abstractNum w:abstractNumId="10" w15:restartNumberingAfterBreak="0">
    <w:nsid w:val="19947C05"/>
    <w:multiLevelType w:val="multilevel"/>
    <w:tmpl w:val="7AC449B6"/>
    <w:numStyleLink w:val="ASXParagraphNumbering"/>
  </w:abstractNum>
  <w:abstractNum w:abstractNumId="11" w15:restartNumberingAfterBreak="0">
    <w:nsid w:val="1BCE5C2F"/>
    <w:multiLevelType w:val="multilevel"/>
    <w:tmpl w:val="DE502248"/>
    <w:numStyleLink w:val="ASXTableList"/>
  </w:abstractNum>
  <w:abstractNum w:abstractNumId="12"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6" w15:restartNumberingAfterBreak="0">
    <w:nsid w:val="2DE90D4A"/>
    <w:multiLevelType w:val="multilevel"/>
    <w:tmpl w:val="6164AC76"/>
    <w:numStyleLink w:val="ASXNumberedHeadings"/>
  </w:abstractNum>
  <w:abstractNum w:abstractNumId="17"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8"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C4785C"/>
    <w:multiLevelType w:val="multilevel"/>
    <w:tmpl w:val="DE502248"/>
    <w:numStyleLink w:val="ASXTableList"/>
  </w:abstractNum>
  <w:abstractNum w:abstractNumId="20"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6D4D02E1"/>
    <w:multiLevelType w:val="multilevel"/>
    <w:tmpl w:val="7AC449B6"/>
    <w:numStyleLink w:val="ASXParagraphNumbering"/>
  </w:abstractNum>
  <w:abstractNum w:abstractNumId="23" w15:restartNumberingAfterBreak="0">
    <w:nsid w:val="7780467F"/>
    <w:multiLevelType w:val="multilevel"/>
    <w:tmpl w:val="C054CF12"/>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right"/>
      <w:pPr>
        <w:ind w:left="369" w:hanging="369"/>
      </w:pPr>
      <w:rPr>
        <w:rFonts w:hint="default"/>
      </w:rPr>
    </w:lvl>
  </w:abstractNum>
  <w:abstractNum w:abstractNumId="24"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8"/>
  </w:num>
  <w:num w:numId="2" w16cid:durableId="1373726361">
    <w:abstractNumId w:val="17"/>
  </w:num>
  <w:num w:numId="3" w16cid:durableId="1681278824">
    <w:abstractNumId w:val="13"/>
  </w:num>
  <w:num w:numId="4" w16cid:durableId="1106997184">
    <w:abstractNumId w:val="21"/>
  </w:num>
  <w:num w:numId="5" w16cid:durableId="826937106">
    <w:abstractNumId w:val="2"/>
  </w:num>
  <w:num w:numId="6" w16cid:durableId="399180240">
    <w:abstractNumId w:val="12"/>
  </w:num>
  <w:num w:numId="7" w16cid:durableId="1327318825">
    <w:abstractNumId w:val="16"/>
  </w:num>
  <w:num w:numId="8" w16cid:durableId="1026441482">
    <w:abstractNumId w:val="24"/>
  </w:num>
  <w:num w:numId="9" w16cid:durableId="1703019663">
    <w:abstractNumId w:val="10"/>
  </w:num>
  <w:num w:numId="10" w16cid:durableId="1811895211">
    <w:abstractNumId w:val="9"/>
  </w:num>
  <w:num w:numId="11" w16cid:durableId="303505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5"/>
  </w:num>
  <w:num w:numId="13" w16cid:durableId="433135935">
    <w:abstractNumId w:val="19"/>
  </w:num>
  <w:num w:numId="14" w16cid:durableId="898439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20"/>
  </w:num>
  <w:num w:numId="17" w16cid:durableId="1419666911">
    <w:abstractNumId w:val="7"/>
  </w:num>
  <w:num w:numId="18" w16cid:durableId="1374235183">
    <w:abstractNumId w:val="6"/>
  </w:num>
  <w:num w:numId="19" w16cid:durableId="1296718823">
    <w:abstractNumId w:val="3"/>
  </w:num>
  <w:num w:numId="20" w16cid:durableId="39869941">
    <w:abstractNumId w:val="18"/>
  </w:num>
  <w:num w:numId="21" w16cid:durableId="1944266962">
    <w:abstractNumId w:val="14"/>
  </w:num>
  <w:num w:numId="22" w16cid:durableId="332494833">
    <w:abstractNumId w:val="1"/>
  </w:num>
  <w:num w:numId="23" w16cid:durableId="364722837">
    <w:abstractNumId w:val="0"/>
  </w:num>
  <w:num w:numId="24" w16cid:durableId="1667367294">
    <w:abstractNumId w:val="22"/>
  </w:num>
  <w:num w:numId="25" w16cid:durableId="1545872029">
    <w:abstractNumId w:val="11"/>
  </w:num>
  <w:num w:numId="26" w16cid:durableId="703484189">
    <w:abstractNumId w:val="4"/>
  </w:num>
  <w:num w:numId="27" w16cid:durableId="1660499897">
    <w:abstractNumId w:val="23"/>
  </w:num>
  <w:num w:numId="28" w16cid:durableId="802162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841878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3F78"/>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4D40"/>
    <w:rsid w:val="00115606"/>
    <w:rsid w:val="0011593C"/>
    <w:rsid w:val="001168C8"/>
    <w:rsid w:val="001174F0"/>
    <w:rsid w:val="00117B13"/>
    <w:rsid w:val="0012162C"/>
    <w:rsid w:val="00121FAC"/>
    <w:rsid w:val="0012332E"/>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4D30"/>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3202"/>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5FCE"/>
    <w:rsid w:val="00346DD3"/>
    <w:rsid w:val="00352738"/>
    <w:rsid w:val="00352D3A"/>
    <w:rsid w:val="00353CD7"/>
    <w:rsid w:val="003549B1"/>
    <w:rsid w:val="00356A93"/>
    <w:rsid w:val="0036292E"/>
    <w:rsid w:val="003633C2"/>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7B4"/>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1FEC"/>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6F45"/>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47B5"/>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1AD"/>
    <w:rsid w:val="0051335E"/>
    <w:rsid w:val="005139A9"/>
    <w:rsid w:val="00514963"/>
    <w:rsid w:val="005150C7"/>
    <w:rsid w:val="00517165"/>
    <w:rsid w:val="005172DE"/>
    <w:rsid w:val="00520E4A"/>
    <w:rsid w:val="00520F17"/>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586D"/>
    <w:rsid w:val="00576ADF"/>
    <w:rsid w:val="00580ED4"/>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2760"/>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FC8"/>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C23"/>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74AE"/>
    <w:rsid w:val="006D0542"/>
    <w:rsid w:val="006D1E26"/>
    <w:rsid w:val="006D1F6E"/>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2C7D"/>
    <w:rsid w:val="007C386F"/>
    <w:rsid w:val="007C390F"/>
    <w:rsid w:val="007C4747"/>
    <w:rsid w:val="007C5229"/>
    <w:rsid w:val="007C7384"/>
    <w:rsid w:val="007D215D"/>
    <w:rsid w:val="007D2B25"/>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12866"/>
    <w:rsid w:val="00813D24"/>
    <w:rsid w:val="00813E05"/>
    <w:rsid w:val="008141BA"/>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3F97"/>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F139C"/>
    <w:rsid w:val="009F14F2"/>
    <w:rsid w:val="009F3BF9"/>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17F7B"/>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5F30"/>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931"/>
    <w:rsid w:val="00A945A1"/>
    <w:rsid w:val="00A95B85"/>
    <w:rsid w:val="00A96DD6"/>
    <w:rsid w:val="00A97988"/>
    <w:rsid w:val="00A97CA6"/>
    <w:rsid w:val="00AA1B99"/>
    <w:rsid w:val="00AA2595"/>
    <w:rsid w:val="00AA2AB3"/>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998"/>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78"/>
    <w:rsid w:val="00B655FE"/>
    <w:rsid w:val="00B65BD0"/>
    <w:rsid w:val="00B710C7"/>
    <w:rsid w:val="00B7172B"/>
    <w:rsid w:val="00B71BD1"/>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27D8"/>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448F"/>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27B"/>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40A9"/>
    <w:rsid w:val="00E15620"/>
    <w:rsid w:val="00E15773"/>
    <w:rsid w:val="00E15916"/>
    <w:rsid w:val="00E16503"/>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1A9F"/>
    <w:rsid w:val="00EB2316"/>
    <w:rsid w:val="00EB408E"/>
    <w:rsid w:val="00EB4493"/>
    <w:rsid w:val="00EB4F19"/>
    <w:rsid w:val="00EC323A"/>
    <w:rsid w:val="00EC350C"/>
    <w:rsid w:val="00EC35BD"/>
    <w:rsid w:val="00EC4767"/>
    <w:rsid w:val="00EC5FAA"/>
    <w:rsid w:val="00EC7ED0"/>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498C"/>
    <w:rsid w:val="00F74BD0"/>
    <w:rsid w:val="00F75F14"/>
    <w:rsid w:val="00F76743"/>
    <w:rsid w:val="00F80C81"/>
    <w:rsid w:val="00F81733"/>
    <w:rsid w:val="00F82778"/>
    <w:rsid w:val="00F840FA"/>
    <w:rsid w:val="00F8533B"/>
    <w:rsid w:val="00F85B8F"/>
    <w:rsid w:val="00F865ED"/>
    <w:rsid w:val="00F877CE"/>
    <w:rsid w:val="00F87896"/>
    <w:rsid w:val="00F9414F"/>
    <w:rsid w:val="00F94F9C"/>
    <w:rsid w:val="00F94FCA"/>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qFormat/>
    <w:rsid w:val="003D210B"/>
    <w:pPr>
      <w:numPr>
        <w:ilvl w:val="0"/>
        <w:numId w:val="7"/>
      </w:numPr>
    </w:pPr>
    <w:rPr>
      <w:color w:val="2D6DF8"/>
      <w:sz w:val="28"/>
    </w:rPr>
  </w:style>
  <w:style w:type="character" w:customStyle="1" w:styleId="Heading4Char">
    <w:name w:val="Heading 4 Char"/>
    <w:basedOn w:val="DefaultParagraphFont"/>
    <w:link w:val="Heading4"/>
    <w:uiPriority w:val="1"/>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E961F5"/>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pPr>
      <w:numPr>
        <w:numId w:val="24"/>
      </w:numPr>
    </w:pPr>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5628B7"/>
    <w:rPr>
      <w:rFonts w:ascii="Arial" w:eastAsiaTheme="minorHAnsi" w:hAnsi="Arial" w:cs="Arial"/>
      <w:b/>
      <w:bCs/>
      <w:color w:val="2D6DF8"/>
      <w:spacing w:val="-1"/>
      <w:sz w:val="28"/>
      <w:szCs w:val="32"/>
      <w:lang w:eastAsia="en-US"/>
    </w:rPr>
  </w:style>
  <w:style w:type="paragraph" w:customStyle="1" w:styleId="NumberedHeading2">
    <w:name w:val="Numbered Heading 2"/>
    <w:basedOn w:val="Heading2"/>
    <w:link w:val="NumberedHeading2Char"/>
    <w:qFormat/>
    <w:rsid w:val="00C45822"/>
    <w:pPr>
      <w:numPr>
        <w:ilvl w:val="1"/>
        <w:numId w:val="7"/>
      </w:numPr>
    </w:pPr>
  </w:style>
  <w:style w:type="paragraph" w:styleId="ListNumber2">
    <w:name w:val="List Number 2"/>
    <w:basedOn w:val="Normal"/>
    <w:uiPriority w:val="3"/>
    <w:qFormat/>
    <w:rsid w:val="00F2063F"/>
    <w:pPr>
      <w:numPr>
        <w:ilvl w:val="1"/>
        <w:numId w:val="24"/>
      </w:numPr>
    </w:pPr>
  </w:style>
  <w:style w:type="paragraph" w:styleId="ListNumber3">
    <w:name w:val="List Number 3"/>
    <w:basedOn w:val="Normal"/>
    <w:uiPriority w:val="3"/>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29"/>
    <w:semiHidden/>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2"/>
    <w:qFormat/>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 w:type="paragraph" w:customStyle="1" w:styleId="NumberedHeading5">
    <w:name w:val="Numbered Heading 5"/>
    <w:basedOn w:val="Heading5"/>
    <w:next w:val="Normal"/>
    <w:qFormat/>
    <w:rsid w:val="0012332E"/>
    <w:pPr>
      <w:adjustRightInd/>
      <w:snapToGrid/>
      <w:spacing w:before="0" w:after="140" w:line="240" w:lineRule="auto"/>
      <w:ind w:left="794" w:hanging="794"/>
    </w:pPr>
    <w:rPr>
      <w:rFonts w:asciiTheme="majorHAnsi" w:hAnsiTheme="majorHAnsi" w:cs="Times New Roman"/>
      <w:i w:val="0"/>
      <w:color w:val="A7A9AC"/>
      <w:sz w:val="20"/>
    </w:rPr>
  </w:style>
  <w:style w:type="paragraph" w:customStyle="1" w:styleId="TimelineText">
    <w:name w:val="Timeline Text"/>
    <w:basedOn w:val="Normal"/>
    <w:qFormat/>
    <w:rsid w:val="007D2B25"/>
    <w:pPr>
      <w:spacing w:after="0" w:line="240" w:lineRule="atLeast"/>
      <w:jc w:val="center"/>
    </w:pPr>
    <w:rPr>
      <w:rFonts w:cs="Calibri"/>
      <w:color w:val="001E6E" w:themeColor="accent1"/>
      <w:spacing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nergyres.com.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0A3F78"/>
    <w:rsid w:val="001E2280"/>
    <w:rsid w:val="008610EC"/>
    <w:rsid w:val="00893F97"/>
    <w:rsid w:val="00A45F30"/>
    <w:rsid w:val="00DE4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yCustomData xmlns="ASX_CustomDocumentInfoPanel">
  <ASX_DocumentType>Board paper</ASX_DocumentType>
  <ASX_DocumentTitle>Celebrating indigenous involvement in the ASX</ASX_DocumentTitle>
  <ASX_DocumentSubtitle>Schools Sharemarket Game</ASX_DocumentSubtitle>
  <ASX_Version>X.X</ASX_Version>
  <ASX_LastUpdated>Month Year</ASX_LastUpdated>
  <ASX_Security/>
</My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8EAB90E-768C-445F-80DB-B5D8BB591F22}">
  <ds:schemaRefs>
    <ds:schemaRef ds:uri="ASX_CustomDocumentInfoPanel"/>
  </ds:schemaRefs>
</ds:datastoreItem>
</file>

<file path=customXml/itemProps2.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1138</Words>
  <Characters>6157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2</cp:revision>
  <cp:lastPrinted>2024-04-29T05:20:00Z</cp:lastPrinted>
  <dcterms:created xsi:type="dcterms:W3CDTF">2025-07-10T01:55:00Z</dcterms:created>
  <dcterms:modified xsi:type="dcterms:W3CDTF">2025-07-10T01:55:00Z</dcterms:modified>
  <cp:category/>
</cp:coreProperties>
</file>