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26B95606"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6C67F9">
        <w:rPr>
          <w:rFonts w:asciiTheme="majorHAnsi" w:eastAsiaTheme="majorEastAsia" w:hAnsiTheme="majorHAnsi" w:cstheme="majorBidi"/>
          <w:b/>
          <w:caps/>
          <w:color w:val="001E6E" w:themeColor="accent1"/>
          <w:spacing w:val="-18"/>
          <w:sz w:val="32"/>
          <w:szCs w:val="32"/>
          <w14:ligatures w14:val="standardContextual"/>
        </w:rPr>
        <w:t>2</w:t>
      </w:r>
    </w:p>
    <w:sdt>
      <w:sdtPr>
        <w:rPr>
          <w:rFonts w:asciiTheme="majorHAnsi" w:eastAsiaTheme="majorEastAsia" w:hAnsiTheme="majorHAnsi" w:cstheme="majorBidi"/>
          <w:b/>
          <w:color w:val="FFFFFF" w:themeColor="background1"/>
          <w:spacing w:val="-18"/>
          <w:sz w:val="56"/>
          <w:szCs w:val="56"/>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multiLine="1"/>
      </w:sdtPr>
      <w:sdtEndPr/>
      <w:sdtContent>
        <w:p w14:paraId="040B63E1" w14:textId="2066B084" w:rsidR="007652A4" w:rsidRPr="004902FD" w:rsidRDefault="009A4D4E" w:rsidP="007652A4">
          <w:pPr>
            <w:pStyle w:val="NormalNoSpacing"/>
            <w:rPr>
              <w:sz w:val="64"/>
              <w:szCs w:val="64"/>
            </w:rPr>
          </w:pPr>
          <w:r>
            <w:rPr>
              <w:rFonts w:asciiTheme="majorHAnsi" w:eastAsiaTheme="majorEastAsia" w:hAnsiTheme="majorHAnsi" w:cstheme="majorBidi"/>
              <w:b/>
              <w:color w:val="FFFFFF" w:themeColor="background1"/>
              <w:spacing w:val="-18"/>
              <w:sz w:val="56"/>
              <w:szCs w:val="56"/>
              <w14:ligatures w14:val="standardContextual"/>
            </w:rPr>
            <w:t>How the Sharemarket works: The Primary and Secondary Market</w:t>
          </w:r>
          <w:r w:rsidR="00082F3A">
            <w:rPr>
              <w:rFonts w:asciiTheme="majorHAnsi" w:eastAsiaTheme="majorEastAsia" w:hAnsiTheme="majorHAnsi" w:cstheme="majorBidi"/>
              <w:b/>
              <w:color w:val="FFFFFF" w:themeColor="background1"/>
              <w:spacing w:val="-18"/>
              <w:sz w:val="56"/>
              <w:szCs w:val="56"/>
              <w14:ligatures w14:val="standardContextual"/>
            </w:rPr>
            <w:t>s</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09E0545F" w14:textId="66D9AB70" w:rsidR="00363B4D" w:rsidRDefault="00363B4D" w:rsidP="00F04E33"/>
    <w:p w14:paraId="5623FC96" w14:textId="77777777" w:rsidR="006C67F9" w:rsidRPr="00494973" w:rsidRDefault="006C67F9" w:rsidP="006C67F9">
      <w:r w:rsidRPr="00494973">
        <w:t xml:space="preserve">Shares are bought and sold on the share market. The share market is like any other market where buyers and sellers come together for the purposes of exchange. In the same way that groceries are sold in a supermarket, arty items are sold on Etsy, and a variety of items are sold on Amazon or eBay, shares are sold by companies on the </w:t>
      </w:r>
      <w:r>
        <w:t>s</w:t>
      </w:r>
      <w:r w:rsidRPr="00494973">
        <w:t xml:space="preserve">haremarket to investors. But shares need to be created before they can be bought or sold – so where do they come from? </w:t>
      </w:r>
    </w:p>
    <w:p w14:paraId="3D9DEEB8" w14:textId="77777777" w:rsidR="006C67F9" w:rsidRPr="00494973" w:rsidRDefault="006C67F9" w:rsidP="006C67F9">
      <w:pPr>
        <w:pStyle w:val="Heading1"/>
      </w:pPr>
      <w:r w:rsidRPr="00494973">
        <w:t>The Primary Market</w:t>
      </w:r>
    </w:p>
    <w:p w14:paraId="6EDBD5B8" w14:textId="77777777" w:rsidR="006C67F9" w:rsidRPr="00FD6CE3" w:rsidRDefault="006C67F9" w:rsidP="006C67F9">
      <w:pPr>
        <w:pStyle w:val="Intro"/>
      </w:pPr>
      <w:r w:rsidRPr="00FD6CE3">
        <w:t>Shares are first issued on the primary market. That is the starting point and from then on shares are traded on the secondary market. The process of listing the shares is known as a float.</w:t>
      </w:r>
    </w:p>
    <w:p w14:paraId="02A2DBA0" w14:textId="77777777" w:rsidR="006C67F9" w:rsidRDefault="006C67F9" w:rsidP="006C67F9">
      <w:r w:rsidRPr="00494973">
        <w:t xml:space="preserve">The Sharemarket is a place where buyers and sellers come together to trade. </w:t>
      </w:r>
    </w:p>
    <w:p w14:paraId="3CD02C44" w14:textId="77777777" w:rsidR="006C67F9" w:rsidRPr="00494973" w:rsidRDefault="006C67F9" w:rsidP="006C67F9">
      <w:pPr>
        <w:pStyle w:val="Bodycopy"/>
      </w:pPr>
      <w:r>
        <w:rPr>
          <w:noProof/>
          <w:lang w:val="en-AU"/>
        </w:rPr>
        <w:drawing>
          <wp:inline distT="0" distB="0" distL="0" distR="0" wp14:anchorId="6BA27E47" wp14:editId="7ABC39EA">
            <wp:extent cx="6120130" cy="1828800"/>
            <wp:effectExtent l="0" t="0" r="0" b="0"/>
            <wp:docPr id="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828800"/>
                    </a:xfrm>
                    <a:prstGeom prst="rect">
                      <a:avLst/>
                    </a:prstGeom>
                  </pic:spPr>
                </pic:pic>
              </a:graphicData>
            </a:graphic>
          </wp:inline>
        </w:drawing>
      </w:r>
    </w:p>
    <w:p w14:paraId="193F0DD1" w14:textId="77777777" w:rsidR="006C67F9" w:rsidRPr="00494973" w:rsidRDefault="006C67F9" w:rsidP="006C67F9">
      <w:r w:rsidRPr="00494973">
        <w:t xml:space="preserve">A company is a business that is a participant in the sharemarket with the expectation that they will acquire funds (equity) from investors that they can use to grow their business. </w:t>
      </w:r>
    </w:p>
    <w:p w14:paraId="2301BEA1" w14:textId="77777777" w:rsidR="006C67F9" w:rsidRPr="00494973" w:rsidRDefault="006C67F9" w:rsidP="006C67F9">
      <w:r w:rsidRPr="00494973">
        <w:t>Investors can either be a business or an individual who participates within the sharemarket by purchasing shares, with the expectation of receiving a financial return from their money (also known as a capital commitment).</w:t>
      </w:r>
    </w:p>
    <w:p w14:paraId="14FAE6B4" w14:textId="43B2F1CC" w:rsidR="006C67F9" w:rsidRDefault="006C67F9" w:rsidP="006C67F9">
      <w:r w:rsidRPr="00494973">
        <w:t xml:space="preserve">Companies then use these funds to expand the business by investing in different areas. For example, a retail supermarket may want to enter the sharemarket to raise the $100 million it needs to expand by opening stores in other states. Investors then expect that the profits generated by this expansion will lead to a payment in dividends and an increase in the share price (capital growth). </w:t>
      </w:r>
      <w:r>
        <w:br/>
      </w:r>
      <w:r>
        <w:rPr>
          <w:noProof/>
        </w:rPr>
        <w:drawing>
          <wp:inline distT="0" distB="0" distL="0" distR="0" wp14:anchorId="6E8824F9" wp14:editId="2C8162E8">
            <wp:extent cx="6120130" cy="1421765"/>
            <wp:effectExtent l="0" t="0" r="0" b="0"/>
            <wp:docPr id="1423398478" name="Picture 1423398478"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98478" name="Picture 1423398478" descr="A screenshot of a computer screen&#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1421765"/>
                    </a:xfrm>
                    <a:prstGeom prst="rect">
                      <a:avLst/>
                    </a:prstGeom>
                  </pic:spPr>
                </pic:pic>
              </a:graphicData>
            </a:graphic>
          </wp:inline>
        </w:drawing>
      </w:r>
    </w:p>
    <w:p w14:paraId="42F2FA4C" w14:textId="77777777" w:rsidR="006C67F9" w:rsidRDefault="006C67F9">
      <w:pPr>
        <w:adjustRightInd/>
        <w:snapToGrid/>
        <w:spacing w:after="0" w:line="240" w:lineRule="auto"/>
      </w:pPr>
      <w:r>
        <w:br w:type="page"/>
      </w:r>
    </w:p>
    <w:p w14:paraId="7871546A" w14:textId="77777777" w:rsidR="006C67F9" w:rsidRPr="00494973" w:rsidRDefault="006C67F9" w:rsidP="006C67F9">
      <w:pPr>
        <w:pStyle w:val="Heading1"/>
      </w:pPr>
      <w:r w:rsidRPr="00494973">
        <w:lastRenderedPageBreak/>
        <w:t>Becoming a Listed Company</w:t>
      </w:r>
    </w:p>
    <w:p w14:paraId="2EC05C39" w14:textId="77777777" w:rsidR="006C67F9" w:rsidRPr="00494973" w:rsidRDefault="006C67F9" w:rsidP="006C67F9">
      <w:r w:rsidRPr="00494973">
        <w:t xml:space="preserve">Not every company can have its shares traded on the </w:t>
      </w:r>
      <w:r>
        <w:t>s</w:t>
      </w:r>
      <w:r w:rsidRPr="00494973">
        <w:t xml:space="preserve">haremarket. It must have already operated as a private company successfully for a period of time and be large enough to qualify. This is to give investors some confidence that it is a stable company. However, this does not provide a guarantee that the company will provide a good return on investment – all investment has an element of risk, and it is up to the investor to weigh up this risk and decide if they are still willing to invest in the hopes of a return on their investment. </w:t>
      </w:r>
    </w:p>
    <w:p w14:paraId="249EB7F9" w14:textId="309D1071" w:rsidR="006C67F9" w:rsidRPr="006C67F9" w:rsidRDefault="006C67F9" w:rsidP="006C67F9">
      <w:pPr>
        <w:rPr>
          <w:color w:val="2D6DF8" w:themeColor="accent2"/>
        </w:rPr>
      </w:pPr>
      <w:r w:rsidRPr="00494973">
        <w:t xml:space="preserve">To make it safer for investors, there are rules that must be obeyed by companies who decide to list on the ASX.  One of these rules is to immediately tell the public about anything that would influence their decision to buy or sell shares in the company. Some instances include a change in the profits they expect, or buying a new business. For example, a mining company may have found a new deposit of gold, which may indicate that they may have increased profits in the next few years, or a medical company may be facing legal action over a medical issue with one of the medicines it produces, indicating additional costs to the company. Often these types of changes are those that may lead to an increase or decrease in share price. These are known as announcements and are there to assist investors in making an informed decision about their investment. </w:t>
      </w:r>
      <w:r>
        <w:t xml:space="preserve">Access latest market announcements using this link: </w:t>
      </w:r>
      <w:hyperlink r:id="rId11" w:history="1">
        <w:r w:rsidR="009A4D4E" w:rsidRPr="00A3286D">
          <w:rPr>
            <w:rStyle w:val="Hyperlink"/>
          </w:rPr>
          <w:t>https://www.asx.com.au/markets/trade-our-cash-market/todays-announcements</w:t>
        </w:r>
      </w:hyperlink>
      <w:r w:rsidRPr="006C67F9">
        <w:rPr>
          <w:color w:val="2D6DF8" w:themeColor="accent2"/>
        </w:rPr>
        <w:t xml:space="preserve"> </w:t>
      </w:r>
    </w:p>
    <w:p w14:paraId="780486F2" w14:textId="642A7197" w:rsidR="006C67F9" w:rsidRPr="008D4A17" w:rsidRDefault="006C67F9" w:rsidP="006C67F9">
      <w:pPr>
        <w:rPr>
          <w:color w:val="215EAC" w:themeColor="accent3"/>
        </w:rPr>
      </w:pPr>
      <w:r w:rsidRPr="00494973">
        <w:t>Further information on listing requirements may be found using this link</w:t>
      </w:r>
      <w:r w:rsidRPr="008D4A17">
        <w:rPr>
          <w:color w:val="215EAC" w:themeColor="accent3"/>
        </w:rPr>
        <w:t xml:space="preserve">: </w:t>
      </w:r>
      <w:hyperlink r:id="rId12" w:history="1">
        <w:r w:rsidR="009A4D4E" w:rsidRPr="00A3286D">
          <w:rPr>
            <w:rStyle w:val="Hyperlink"/>
          </w:rPr>
          <w:t>https://www.asx.com.au/listings/how-to-list/listing-requirements</w:t>
        </w:r>
      </w:hyperlink>
    </w:p>
    <w:p w14:paraId="60B9FAA8" w14:textId="77777777" w:rsidR="006C67F9" w:rsidRPr="00A20878" w:rsidRDefault="006C67F9" w:rsidP="006C67F9">
      <w:pPr>
        <w:pStyle w:val="Heading2"/>
      </w:pPr>
      <w:r w:rsidRPr="00A20878">
        <w:t xml:space="preserve">Buying Shares </w:t>
      </w:r>
      <w:r>
        <w:t>i</w:t>
      </w:r>
      <w:r w:rsidRPr="00A20878">
        <w:t xml:space="preserve">n </w:t>
      </w:r>
      <w:r>
        <w:t>a</w:t>
      </w:r>
      <w:r w:rsidRPr="00A20878">
        <w:t xml:space="preserve"> Float</w:t>
      </w:r>
    </w:p>
    <w:p w14:paraId="59D1EBE7" w14:textId="77777777" w:rsidR="006C67F9" w:rsidRPr="00494973" w:rsidRDefault="006C67F9" w:rsidP="006C67F9">
      <w:r w:rsidRPr="00494973">
        <w:t>A float is when a company issues shares to the public for the first time. Another term used is Initial Public Offering (IPO). A company issuing shares for the first time must issue a Product Disclosure document (also known as a prospectus) describing its business and financial situation. A Product Disclosure document is an official document that has been lodged with and registered by the Australian Securities and Investments Commission (ASIC). People apply for shares using a form included with</w:t>
      </w:r>
      <w:r>
        <w:t>in</w:t>
      </w:r>
      <w:r w:rsidRPr="00494973">
        <w:t xml:space="preserve"> the offer document, and often they may use a broker to assist them with this process. If there are many investors interested in the float, investors may receive only some of the shares they applied for (or even none at all). If this is the case, then the investment money will be refunded to those who missed out. Once the shares have been issued the shares begin trading on the secondary market. This is when those shares issued by the company can be sold to other investors. Some shares go up quickly after they are available for trading – especially if a lot of people wanted shares and missed out on the float. </w:t>
      </w:r>
      <w:r>
        <w:t>O</w:t>
      </w:r>
      <w:r w:rsidRPr="00AA14A6">
        <w:t>thers with less interest may go down in value</w:t>
      </w:r>
      <w:r w:rsidRPr="00494973">
        <w:t>.</w:t>
      </w:r>
    </w:p>
    <w:p w14:paraId="6553D3D5" w14:textId="77777777" w:rsidR="006C67F9" w:rsidRPr="00494973" w:rsidRDefault="006C67F9" w:rsidP="006C67F9">
      <w:r w:rsidRPr="00494973">
        <w:t>The operation of public companies is highly regulated by the Corporations Act 2001 (Cth), and overseen by the Australian Securities and Investment Commission (ASIC).</w:t>
      </w:r>
    </w:p>
    <w:p w14:paraId="5BF28731" w14:textId="77777777" w:rsidR="006C67F9" w:rsidRPr="00494973" w:rsidRDefault="006C67F9" w:rsidP="006C67F9">
      <w:pPr>
        <w:pStyle w:val="Heading2"/>
      </w:pPr>
      <w:r w:rsidRPr="00494973">
        <w:t xml:space="preserve">Types of </w:t>
      </w:r>
      <w:r w:rsidRPr="006C67F9">
        <w:t>Legal</w:t>
      </w:r>
      <w:r w:rsidRPr="00494973">
        <w:t xml:space="preserve"> Structures</w:t>
      </w:r>
    </w:p>
    <w:p w14:paraId="02394376" w14:textId="77777777" w:rsidR="006C67F9" w:rsidRPr="00494973" w:rsidRDefault="006C67F9" w:rsidP="006C67F9">
      <w:r w:rsidRPr="00494973">
        <w:t>A business in Australia can be classified based on:</w:t>
      </w:r>
    </w:p>
    <w:p w14:paraId="69DDC57B" w14:textId="77777777" w:rsidR="006C67F9" w:rsidRPr="006C67F9" w:rsidRDefault="006C67F9" w:rsidP="006C67F9">
      <w:pPr>
        <w:pStyle w:val="ListBullet"/>
      </w:pPr>
      <w:r>
        <w:t xml:space="preserve">Its size (based on the </w:t>
      </w:r>
      <w:r w:rsidRPr="006C67F9">
        <w:t>number of employees it has or the profit it derives from day-to-day operations)</w:t>
      </w:r>
    </w:p>
    <w:p w14:paraId="7BEDE1B0" w14:textId="77777777" w:rsidR="006C67F9" w:rsidRPr="006C67F9" w:rsidRDefault="006C67F9" w:rsidP="006C67F9">
      <w:pPr>
        <w:pStyle w:val="ListBullet"/>
      </w:pPr>
      <w:r w:rsidRPr="006C67F9">
        <w:t>The industry sector it is in</w:t>
      </w:r>
    </w:p>
    <w:p w14:paraId="6FF82441" w14:textId="77777777" w:rsidR="006C67F9" w:rsidRPr="006C67F9" w:rsidRDefault="006C67F9" w:rsidP="006C67F9">
      <w:pPr>
        <w:pStyle w:val="ListBullet"/>
      </w:pPr>
      <w:r w:rsidRPr="006C67F9">
        <w:t>Its legal structure</w:t>
      </w:r>
    </w:p>
    <w:p w14:paraId="1D93D39E" w14:textId="77777777" w:rsidR="006C67F9" w:rsidRPr="00E113DD" w:rsidRDefault="006C67F9" w:rsidP="006C67F9">
      <w:pPr>
        <w:pStyle w:val="ListBullet"/>
      </w:pPr>
      <w:r w:rsidRPr="006C67F9">
        <w:t>Its geographic location</w:t>
      </w:r>
      <w:r w:rsidRPr="00E113DD">
        <w:rPr>
          <w:b/>
          <w:bCs/>
          <w:iCs/>
          <w:color w:val="2D6DF8" w:themeColor="accent2"/>
          <w:sz w:val="24"/>
        </w:rPr>
        <w:br w:type="page"/>
      </w:r>
    </w:p>
    <w:p w14:paraId="4B2A0D92" w14:textId="77777777" w:rsidR="006C67F9" w:rsidRPr="00B66AF5" w:rsidRDefault="006C67F9" w:rsidP="006C67F9">
      <w:pPr>
        <w:pStyle w:val="Heading1"/>
        <w:rPr>
          <w:iCs/>
          <w:lang w:eastAsia="en-AU"/>
        </w:rPr>
      </w:pPr>
      <w:r w:rsidRPr="00B66AF5">
        <w:rPr>
          <w:lang w:eastAsia="en-AU"/>
        </w:rPr>
        <w:lastRenderedPageBreak/>
        <w:t>Activity 1</w:t>
      </w:r>
    </w:p>
    <w:p w14:paraId="27576438" w14:textId="77777777" w:rsidR="006C67F9" w:rsidRPr="0076780C" w:rsidRDefault="006C67F9" w:rsidP="006C67F9">
      <w:r>
        <w:t xml:space="preserve">The following are the main types of legal structures in Australia and their main features. </w:t>
      </w:r>
      <w:r w:rsidRPr="00C16359">
        <w:rPr>
          <w:b/>
          <w:bCs/>
          <w:u w:val="single"/>
        </w:rPr>
        <w:t>Identify</w:t>
      </w:r>
      <w:r w:rsidRPr="00494973">
        <w:rPr>
          <w:bCs/>
        </w:rPr>
        <w:t xml:space="preserve"> </w:t>
      </w:r>
      <w:r>
        <w:t>some examples of these types of businesses.</w:t>
      </w:r>
    </w:p>
    <w:tbl>
      <w:tblPr>
        <w:tblStyle w:val="ASXTable"/>
        <w:tblW w:w="5000" w:type="pct"/>
        <w:tblLook w:val="04A0" w:firstRow="1" w:lastRow="0" w:firstColumn="1" w:lastColumn="0" w:noHBand="0" w:noVBand="1"/>
      </w:tblPr>
      <w:tblGrid>
        <w:gridCol w:w="1354"/>
        <w:gridCol w:w="2213"/>
        <w:gridCol w:w="2213"/>
        <w:gridCol w:w="2212"/>
        <w:gridCol w:w="2212"/>
      </w:tblGrid>
      <w:tr w:rsidR="006C67F9" w:rsidRPr="00C826A1" w14:paraId="157848F1" w14:textId="77777777" w:rsidTr="006C67F9">
        <w:trPr>
          <w:cnfStyle w:val="100000000000" w:firstRow="1" w:lastRow="0" w:firstColumn="0" w:lastColumn="0" w:oddVBand="0" w:evenVBand="0" w:oddHBand="0" w:evenHBand="0" w:firstRowFirstColumn="0" w:firstRowLastColumn="0" w:lastRowFirstColumn="0" w:lastRowLastColumn="0"/>
        </w:trPr>
        <w:tc>
          <w:tcPr>
            <w:tcW w:w="663" w:type="pct"/>
          </w:tcPr>
          <w:p w14:paraId="5EAC8B70" w14:textId="77777777" w:rsidR="006C67F9" w:rsidRPr="000F7B79" w:rsidRDefault="006C67F9" w:rsidP="006C67F9">
            <w:pPr>
              <w:pStyle w:val="TableHeadingWhite"/>
            </w:pPr>
          </w:p>
        </w:tc>
        <w:tc>
          <w:tcPr>
            <w:tcW w:w="1084" w:type="pct"/>
          </w:tcPr>
          <w:p w14:paraId="1C6E3263" w14:textId="77777777" w:rsidR="006C67F9" w:rsidRPr="00C826A1" w:rsidRDefault="006C67F9" w:rsidP="006C67F9">
            <w:pPr>
              <w:pStyle w:val="TableHeadingWhite"/>
              <w:rPr>
                <w:szCs w:val="18"/>
              </w:rPr>
            </w:pPr>
            <w:r w:rsidRPr="00C826A1">
              <w:rPr>
                <w:rFonts w:cstheme="minorHAnsi"/>
                <w:szCs w:val="18"/>
              </w:rPr>
              <w:t>Sole Trader</w:t>
            </w:r>
          </w:p>
        </w:tc>
        <w:tc>
          <w:tcPr>
            <w:tcW w:w="1084" w:type="pct"/>
          </w:tcPr>
          <w:p w14:paraId="4A8FCC9E" w14:textId="77777777" w:rsidR="006C67F9" w:rsidRPr="00C826A1" w:rsidRDefault="006C67F9" w:rsidP="006C67F9">
            <w:pPr>
              <w:pStyle w:val="TableHeadingWhite"/>
              <w:rPr>
                <w:szCs w:val="18"/>
              </w:rPr>
            </w:pPr>
            <w:r w:rsidRPr="00C826A1">
              <w:rPr>
                <w:rFonts w:cstheme="minorHAnsi"/>
                <w:szCs w:val="18"/>
              </w:rPr>
              <w:t>Partnership</w:t>
            </w:r>
          </w:p>
        </w:tc>
        <w:tc>
          <w:tcPr>
            <w:tcW w:w="1084" w:type="pct"/>
          </w:tcPr>
          <w:p w14:paraId="09A99C46" w14:textId="77777777" w:rsidR="006C67F9" w:rsidRPr="00C826A1" w:rsidRDefault="006C67F9" w:rsidP="006C67F9">
            <w:pPr>
              <w:pStyle w:val="TableHeadingWhite"/>
              <w:rPr>
                <w:szCs w:val="18"/>
              </w:rPr>
            </w:pPr>
            <w:r w:rsidRPr="00C826A1">
              <w:rPr>
                <w:rFonts w:cstheme="minorHAnsi"/>
                <w:szCs w:val="18"/>
              </w:rPr>
              <w:t>Private Company</w:t>
            </w:r>
          </w:p>
        </w:tc>
        <w:tc>
          <w:tcPr>
            <w:tcW w:w="1084" w:type="pct"/>
          </w:tcPr>
          <w:p w14:paraId="4ADCD8DC" w14:textId="77777777" w:rsidR="006C67F9" w:rsidRPr="00C826A1" w:rsidRDefault="006C67F9" w:rsidP="006C67F9">
            <w:pPr>
              <w:pStyle w:val="TableHeadingWhite"/>
              <w:rPr>
                <w:rFonts w:cstheme="minorHAnsi"/>
                <w:szCs w:val="18"/>
              </w:rPr>
            </w:pPr>
            <w:r w:rsidRPr="00C826A1">
              <w:rPr>
                <w:rFonts w:cstheme="minorHAnsi"/>
                <w:szCs w:val="18"/>
              </w:rPr>
              <w:t>Public Company</w:t>
            </w:r>
          </w:p>
        </w:tc>
      </w:tr>
      <w:tr w:rsidR="006C67F9" w14:paraId="6CEB6A96" w14:textId="77777777" w:rsidTr="006C67F9">
        <w:tc>
          <w:tcPr>
            <w:tcW w:w="663" w:type="pct"/>
          </w:tcPr>
          <w:p w14:paraId="4292F0EF" w14:textId="77777777" w:rsidR="006C67F9" w:rsidRPr="006C67F9" w:rsidRDefault="006C67F9" w:rsidP="006C67F9">
            <w:pPr>
              <w:pStyle w:val="StyleTableText9pt"/>
            </w:pPr>
            <w:r w:rsidRPr="006C67F9">
              <w:t>Examples of types of businesses</w:t>
            </w:r>
          </w:p>
        </w:tc>
        <w:tc>
          <w:tcPr>
            <w:tcW w:w="1084" w:type="pct"/>
          </w:tcPr>
          <w:p w14:paraId="1A31E12F" w14:textId="77777777" w:rsidR="006C67F9" w:rsidRPr="006C67F9" w:rsidRDefault="006C67F9" w:rsidP="006C67F9">
            <w:pPr>
              <w:pStyle w:val="StyleTableText9pt"/>
            </w:pPr>
            <w:r w:rsidRPr="006C67F9">
              <w:t>Local plumber, hairdresser, cleaner, small take-away</w:t>
            </w:r>
          </w:p>
        </w:tc>
        <w:tc>
          <w:tcPr>
            <w:tcW w:w="1084" w:type="pct"/>
          </w:tcPr>
          <w:p w14:paraId="0698922F" w14:textId="77777777" w:rsidR="006C67F9" w:rsidRPr="006C67F9" w:rsidRDefault="006C67F9" w:rsidP="006C67F9">
            <w:pPr>
              <w:pStyle w:val="StyleTableText9pt"/>
            </w:pPr>
            <w:r w:rsidRPr="006C67F9">
              <w:t>Lawyers, accountants, doctors, vets</w:t>
            </w:r>
          </w:p>
        </w:tc>
        <w:tc>
          <w:tcPr>
            <w:tcW w:w="1084" w:type="pct"/>
          </w:tcPr>
          <w:p w14:paraId="262CBAD7" w14:textId="77777777" w:rsidR="006C67F9" w:rsidRPr="006C67F9" w:rsidRDefault="006C67F9" w:rsidP="006C67F9">
            <w:pPr>
              <w:pStyle w:val="StyleTableText9pt"/>
            </w:pPr>
            <w:r w:rsidRPr="006C67F9">
              <w:t>Café with 10 branches around Australia</w:t>
            </w:r>
          </w:p>
        </w:tc>
        <w:tc>
          <w:tcPr>
            <w:tcW w:w="1084" w:type="pct"/>
          </w:tcPr>
          <w:p w14:paraId="1D089290" w14:textId="77777777" w:rsidR="006C67F9" w:rsidRPr="006C67F9" w:rsidRDefault="006C67F9" w:rsidP="006C67F9">
            <w:pPr>
              <w:pStyle w:val="StyleTableText9pt"/>
            </w:pPr>
            <w:r w:rsidRPr="006C67F9">
              <w:t>Mining businesses, telecommunications business, national retailers, international airlines</w:t>
            </w:r>
          </w:p>
        </w:tc>
      </w:tr>
      <w:tr w:rsidR="006C67F9" w14:paraId="5C61967C" w14:textId="77777777" w:rsidTr="006C67F9">
        <w:tc>
          <w:tcPr>
            <w:tcW w:w="663" w:type="pct"/>
          </w:tcPr>
          <w:p w14:paraId="1E64F940" w14:textId="77777777" w:rsidR="006C67F9" w:rsidRPr="006C67F9" w:rsidRDefault="006C67F9" w:rsidP="006C67F9">
            <w:pPr>
              <w:pStyle w:val="StyleTableText9pt"/>
            </w:pPr>
            <w:r w:rsidRPr="006C67F9">
              <w:t>Name some examples of some of these businesses</w:t>
            </w:r>
          </w:p>
        </w:tc>
        <w:tc>
          <w:tcPr>
            <w:tcW w:w="1084" w:type="pct"/>
          </w:tcPr>
          <w:p w14:paraId="22BAD05D" w14:textId="77777777" w:rsidR="006C67F9" w:rsidRPr="00040932" w:rsidRDefault="006C67F9" w:rsidP="00D67536">
            <w:pPr>
              <w:pStyle w:val="TableText"/>
              <w:rPr>
                <w:szCs w:val="18"/>
              </w:rPr>
            </w:pPr>
            <w:r w:rsidRPr="00040932">
              <w:rPr>
                <w:szCs w:val="18"/>
              </w:rPr>
              <w:t>1.</w:t>
            </w:r>
          </w:p>
          <w:p w14:paraId="73D83787" w14:textId="77777777" w:rsidR="006C67F9" w:rsidRPr="00040932" w:rsidRDefault="006C67F9" w:rsidP="00D67536">
            <w:pPr>
              <w:pStyle w:val="TableText"/>
              <w:rPr>
                <w:szCs w:val="18"/>
              </w:rPr>
            </w:pPr>
            <w:r w:rsidRPr="00040932">
              <w:rPr>
                <w:szCs w:val="18"/>
              </w:rPr>
              <w:t>2.</w:t>
            </w:r>
          </w:p>
          <w:p w14:paraId="48D73BA4" w14:textId="77777777" w:rsidR="006C67F9" w:rsidRPr="00040932" w:rsidRDefault="006C67F9" w:rsidP="00D67536">
            <w:pPr>
              <w:pStyle w:val="TableText"/>
              <w:rPr>
                <w:szCs w:val="18"/>
              </w:rPr>
            </w:pPr>
            <w:r w:rsidRPr="00040932">
              <w:rPr>
                <w:szCs w:val="18"/>
              </w:rPr>
              <w:t>3.</w:t>
            </w:r>
          </w:p>
        </w:tc>
        <w:tc>
          <w:tcPr>
            <w:tcW w:w="1084" w:type="pct"/>
          </w:tcPr>
          <w:p w14:paraId="0417D753" w14:textId="77777777" w:rsidR="006C67F9" w:rsidRPr="00040932" w:rsidRDefault="006C67F9" w:rsidP="00D67536">
            <w:pPr>
              <w:pStyle w:val="TableText"/>
              <w:rPr>
                <w:szCs w:val="18"/>
              </w:rPr>
            </w:pPr>
            <w:r w:rsidRPr="00040932">
              <w:rPr>
                <w:szCs w:val="18"/>
              </w:rPr>
              <w:t>1.</w:t>
            </w:r>
          </w:p>
          <w:p w14:paraId="21AC4F57" w14:textId="77777777" w:rsidR="006C67F9" w:rsidRPr="00040932" w:rsidRDefault="006C67F9" w:rsidP="00D67536">
            <w:pPr>
              <w:pStyle w:val="TableText"/>
              <w:rPr>
                <w:szCs w:val="18"/>
              </w:rPr>
            </w:pPr>
            <w:r w:rsidRPr="00040932">
              <w:rPr>
                <w:szCs w:val="18"/>
              </w:rPr>
              <w:t>2.</w:t>
            </w:r>
          </w:p>
          <w:p w14:paraId="6A6C7B51" w14:textId="77777777" w:rsidR="006C67F9" w:rsidRPr="00040932" w:rsidRDefault="006C67F9" w:rsidP="00D67536">
            <w:pPr>
              <w:pStyle w:val="TableText"/>
              <w:rPr>
                <w:szCs w:val="18"/>
              </w:rPr>
            </w:pPr>
            <w:r w:rsidRPr="00040932">
              <w:rPr>
                <w:szCs w:val="18"/>
              </w:rPr>
              <w:t>3.</w:t>
            </w:r>
          </w:p>
        </w:tc>
        <w:tc>
          <w:tcPr>
            <w:tcW w:w="1084" w:type="pct"/>
          </w:tcPr>
          <w:p w14:paraId="5EC3D3E6" w14:textId="77777777" w:rsidR="006C67F9" w:rsidRPr="00040932" w:rsidRDefault="006C67F9" w:rsidP="00D67536">
            <w:pPr>
              <w:pStyle w:val="TableText"/>
              <w:rPr>
                <w:szCs w:val="18"/>
              </w:rPr>
            </w:pPr>
            <w:r w:rsidRPr="00040932">
              <w:rPr>
                <w:szCs w:val="18"/>
              </w:rPr>
              <w:t>1.</w:t>
            </w:r>
          </w:p>
          <w:p w14:paraId="19A519F7" w14:textId="77777777" w:rsidR="006C67F9" w:rsidRPr="00040932" w:rsidRDefault="006C67F9" w:rsidP="00D67536">
            <w:pPr>
              <w:pStyle w:val="TableText"/>
              <w:rPr>
                <w:szCs w:val="18"/>
              </w:rPr>
            </w:pPr>
            <w:r w:rsidRPr="00040932">
              <w:rPr>
                <w:szCs w:val="18"/>
              </w:rPr>
              <w:t>2.</w:t>
            </w:r>
          </w:p>
          <w:p w14:paraId="6DE1D26C" w14:textId="77777777" w:rsidR="006C67F9" w:rsidRPr="00040932" w:rsidRDefault="006C67F9" w:rsidP="00D67536">
            <w:pPr>
              <w:pStyle w:val="TableText"/>
              <w:rPr>
                <w:szCs w:val="18"/>
              </w:rPr>
            </w:pPr>
            <w:r w:rsidRPr="00040932">
              <w:rPr>
                <w:szCs w:val="18"/>
              </w:rPr>
              <w:t>3.</w:t>
            </w:r>
          </w:p>
        </w:tc>
        <w:tc>
          <w:tcPr>
            <w:tcW w:w="1084" w:type="pct"/>
          </w:tcPr>
          <w:p w14:paraId="0B527432" w14:textId="77777777" w:rsidR="006C67F9" w:rsidRPr="00040932" w:rsidRDefault="006C67F9" w:rsidP="00D67536">
            <w:pPr>
              <w:pStyle w:val="TableText"/>
              <w:rPr>
                <w:szCs w:val="18"/>
              </w:rPr>
            </w:pPr>
            <w:r w:rsidRPr="00040932">
              <w:rPr>
                <w:szCs w:val="18"/>
              </w:rPr>
              <w:t>1.</w:t>
            </w:r>
          </w:p>
          <w:p w14:paraId="7540587C" w14:textId="77777777" w:rsidR="006C67F9" w:rsidRPr="00040932" w:rsidRDefault="006C67F9" w:rsidP="00D67536">
            <w:pPr>
              <w:pStyle w:val="TableText"/>
              <w:rPr>
                <w:szCs w:val="18"/>
              </w:rPr>
            </w:pPr>
            <w:r w:rsidRPr="00040932">
              <w:rPr>
                <w:szCs w:val="18"/>
              </w:rPr>
              <w:t>2.</w:t>
            </w:r>
          </w:p>
          <w:p w14:paraId="408F8156" w14:textId="77777777" w:rsidR="006C67F9" w:rsidRPr="00040932" w:rsidRDefault="006C67F9" w:rsidP="00D67536">
            <w:pPr>
              <w:pStyle w:val="TableText"/>
              <w:rPr>
                <w:szCs w:val="18"/>
              </w:rPr>
            </w:pPr>
            <w:r w:rsidRPr="00040932">
              <w:rPr>
                <w:szCs w:val="18"/>
              </w:rPr>
              <w:t>3.</w:t>
            </w:r>
          </w:p>
        </w:tc>
      </w:tr>
      <w:tr w:rsidR="006C67F9" w:rsidRPr="00C826A1" w14:paraId="6C504D55" w14:textId="77777777" w:rsidTr="006C67F9">
        <w:tc>
          <w:tcPr>
            <w:tcW w:w="663" w:type="pct"/>
          </w:tcPr>
          <w:p w14:paraId="26D6EF83" w14:textId="77777777" w:rsidR="006C67F9" w:rsidRPr="006C67F9" w:rsidRDefault="006C67F9" w:rsidP="006C67F9">
            <w:pPr>
              <w:pStyle w:val="StyleTableText9pt"/>
            </w:pPr>
            <w:r w:rsidRPr="006C67F9">
              <w:t xml:space="preserve">Usual number </w:t>
            </w:r>
            <w:r w:rsidRPr="006C67F9">
              <w:br/>
              <w:t>of owners/ employees</w:t>
            </w:r>
          </w:p>
        </w:tc>
        <w:tc>
          <w:tcPr>
            <w:tcW w:w="1084" w:type="pct"/>
          </w:tcPr>
          <w:p w14:paraId="1EAF2D9D" w14:textId="77777777" w:rsidR="006C67F9" w:rsidRPr="00C826A1" w:rsidRDefault="006C67F9" w:rsidP="006C67F9">
            <w:pPr>
              <w:pStyle w:val="TableBullets"/>
            </w:pPr>
            <w:r w:rsidRPr="00C826A1">
              <w:t>One owner (shareholder)</w:t>
            </w:r>
          </w:p>
          <w:p w14:paraId="41759C47" w14:textId="77777777" w:rsidR="006C67F9" w:rsidRPr="00C826A1" w:rsidRDefault="006C67F9" w:rsidP="006C67F9">
            <w:pPr>
              <w:pStyle w:val="TableBullets"/>
            </w:pPr>
            <w:r w:rsidRPr="00C826A1">
              <w:t>Less than 20 employees</w:t>
            </w:r>
          </w:p>
        </w:tc>
        <w:tc>
          <w:tcPr>
            <w:tcW w:w="1084" w:type="pct"/>
          </w:tcPr>
          <w:p w14:paraId="57F92B21" w14:textId="77777777" w:rsidR="006C67F9" w:rsidRPr="00C826A1" w:rsidRDefault="006C67F9" w:rsidP="006C67F9">
            <w:pPr>
              <w:pStyle w:val="TableBullets"/>
            </w:pPr>
            <w:r w:rsidRPr="00C826A1">
              <w:t>2-20 owners (with some exceptions eg. Legal and accountancy can have up to 200 partners).</w:t>
            </w:r>
          </w:p>
        </w:tc>
        <w:tc>
          <w:tcPr>
            <w:tcW w:w="1084" w:type="pct"/>
          </w:tcPr>
          <w:p w14:paraId="0CF87AF1" w14:textId="77777777" w:rsidR="006C67F9" w:rsidRPr="00C826A1" w:rsidRDefault="006C67F9" w:rsidP="006C67F9">
            <w:pPr>
              <w:pStyle w:val="TableBullets"/>
            </w:pPr>
            <w:r w:rsidRPr="00C826A1">
              <w:t>1 – 50 shareholders</w:t>
            </w:r>
          </w:p>
        </w:tc>
        <w:tc>
          <w:tcPr>
            <w:tcW w:w="1084" w:type="pct"/>
          </w:tcPr>
          <w:p w14:paraId="33911CE2" w14:textId="77777777" w:rsidR="006C67F9" w:rsidRPr="00C826A1" w:rsidRDefault="006C67F9" w:rsidP="006C67F9">
            <w:pPr>
              <w:pStyle w:val="TableBullets"/>
            </w:pPr>
            <w:r w:rsidRPr="00C826A1">
              <w:t>Minimum of 5 shareholders, unlimited amount of shareholders/owners.</w:t>
            </w:r>
          </w:p>
          <w:p w14:paraId="610DDFD1" w14:textId="77777777" w:rsidR="006C67F9" w:rsidRPr="00C826A1" w:rsidRDefault="006C67F9" w:rsidP="006C67F9">
            <w:pPr>
              <w:pStyle w:val="TableBullets"/>
            </w:pPr>
            <w:r w:rsidRPr="00C826A1">
              <w:t>Usually have 200+ employees.</w:t>
            </w:r>
          </w:p>
        </w:tc>
      </w:tr>
      <w:tr w:rsidR="006C67F9" w14:paraId="4E000C92" w14:textId="77777777" w:rsidTr="006C67F9">
        <w:tc>
          <w:tcPr>
            <w:tcW w:w="663" w:type="pct"/>
          </w:tcPr>
          <w:p w14:paraId="5FB3B21C" w14:textId="77777777" w:rsidR="006C67F9" w:rsidRPr="006C67F9" w:rsidRDefault="006C67F9" w:rsidP="006C67F9">
            <w:pPr>
              <w:pStyle w:val="StyleTableText9pt"/>
            </w:pPr>
            <w:r w:rsidRPr="006C67F9">
              <w:t>Features</w:t>
            </w:r>
          </w:p>
        </w:tc>
        <w:tc>
          <w:tcPr>
            <w:tcW w:w="1084" w:type="pct"/>
          </w:tcPr>
          <w:p w14:paraId="0BC4BC4F" w14:textId="77777777" w:rsidR="006C67F9" w:rsidRPr="00C826A1" w:rsidRDefault="006C67F9" w:rsidP="006C67F9">
            <w:pPr>
              <w:pStyle w:val="TableBullets"/>
            </w:pPr>
            <w:r w:rsidRPr="00C826A1">
              <w:t>Owner has unlimited liability.</w:t>
            </w:r>
          </w:p>
          <w:p w14:paraId="1578D7E7" w14:textId="77777777" w:rsidR="006C67F9" w:rsidRPr="00C826A1" w:rsidRDefault="006C67F9" w:rsidP="006C67F9">
            <w:pPr>
              <w:pStyle w:val="TableBullets"/>
            </w:pPr>
            <w:r w:rsidRPr="00C826A1">
              <w:t>All profits are retained by the owner.</w:t>
            </w:r>
          </w:p>
          <w:p w14:paraId="57FF6B0B" w14:textId="77777777" w:rsidR="006C67F9" w:rsidRPr="00C826A1" w:rsidRDefault="006C67F9" w:rsidP="006C67F9">
            <w:pPr>
              <w:pStyle w:val="TableBullets"/>
            </w:pPr>
            <w:r w:rsidRPr="00C826A1">
              <w:t xml:space="preserve">Less paperwork and legal reporting making it a quick, inexpensive and easy way to start a business. </w:t>
            </w:r>
          </w:p>
          <w:p w14:paraId="7CBA72B0" w14:textId="77777777" w:rsidR="006C67F9" w:rsidRPr="00C826A1" w:rsidRDefault="006C67F9" w:rsidP="006C67F9">
            <w:pPr>
              <w:pStyle w:val="TableBullets"/>
            </w:pPr>
            <w:r w:rsidRPr="00C826A1">
              <w:t>The owner makes all of the decisions.</w:t>
            </w:r>
          </w:p>
        </w:tc>
        <w:tc>
          <w:tcPr>
            <w:tcW w:w="1084" w:type="pct"/>
          </w:tcPr>
          <w:p w14:paraId="17CEC725" w14:textId="77777777" w:rsidR="006C67F9" w:rsidRPr="00C826A1" w:rsidRDefault="006C67F9" w:rsidP="006C67F9">
            <w:pPr>
              <w:pStyle w:val="TableBullets"/>
            </w:pPr>
            <w:r w:rsidRPr="00C826A1">
              <w:t xml:space="preserve">Governed by the various Partnership </w:t>
            </w:r>
            <w:r>
              <w:br/>
            </w:r>
            <w:r w:rsidRPr="00C826A1">
              <w:t>Acts in each state across Australia.</w:t>
            </w:r>
          </w:p>
          <w:p w14:paraId="72BA9DFF" w14:textId="77777777" w:rsidR="006C67F9" w:rsidRPr="00C826A1" w:rsidRDefault="006C67F9" w:rsidP="006C67F9">
            <w:pPr>
              <w:pStyle w:val="TableBullets"/>
            </w:pPr>
            <w:r w:rsidRPr="00C826A1">
              <w:t>Owners/shareholders have unlimited liability.</w:t>
            </w:r>
          </w:p>
        </w:tc>
        <w:tc>
          <w:tcPr>
            <w:tcW w:w="1084" w:type="pct"/>
          </w:tcPr>
          <w:p w14:paraId="7C4C2B61" w14:textId="77777777" w:rsidR="006C67F9" w:rsidRPr="00C826A1" w:rsidRDefault="006C67F9" w:rsidP="006C67F9">
            <w:pPr>
              <w:pStyle w:val="TableBullets"/>
            </w:pPr>
            <w:r w:rsidRPr="00C826A1">
              <w:t xml:space="preserve">A legal entity separate from its shareholders. </w:t>
            </w:r>
          </w:p>
          <w:p w14:paraId="1129303C" w14:textId="77777777" w:rsidR="006C67F9" w:rsidRPr="00C826A1" w:rsidRDefault="006C67F9" w:rsidP="006C67F9">
            <w:pPr>
              <w:pStyle w:val="TableBullets"/>
            </w:pPr>
            <w:r w:rsidRPr="00C826A1">
              <w:t>Must comply with the Corporations Act 2001 (Cth).</w:t>
            </w:r>
          </w:p>
          <w:p w14:paraId="742C3B58" w14:textId="77777777" w:rsidR="006C67F9" w:rsidRPr="00C826A1" w:rsidRDefault="006C67F9" w:rsidP="006C67F9">
            <w:pPr>
              <w:pStyle w:val="TableBullets"/>
            </w:pPr>
            <w:r w:rsidRPr="00C826A1">
              <w:t xml:space="preserve">Owners/shareholders have limited liability. </w:t>
            </w:r>
          </w:p>
          <w:p w14:paraId="5FED9F18" w14:textId="77777777" w:rsidR="006C67F9" w:rsidRPr="00C826A1" w:rsidRDefault="006C67F9" w:rsidP="006C67F9">
            <w:pPr>
              <w:pStyle w:val="TableBullets"/>
            </w:pPr>
            <w:r w:rsidRPr="00C826A1">
              <w:t xml:space="preserve">Overseen by the Australian Securities and Investment Commission. </w:t>
            </w:r>
          </w:p>
        </w:tc>
        <w:tc>
          <w:tcPr>
            <w:tcW w:w="1084" w:type="pct"/>
          </w:tcPr>
          <w:p w14:paraId="39FD4CF0" w14:textId="77777777" w:rsidR="006C67F9" w:rsidRPr="00C826A1" w:rsidRDefault="006C67F9" w:rsidP="006C67F9">
            <w:pPr>
              <w:pStyle w:val="TableBullets"/>
            </w:pPr>
            <w:r w:rsidRPr="00C826A1">
              <w:t xml:space="preserve">A legal entity </w:t>
            </w:r>
            <w:r>
              <w:t>separate from its shareholders, l</w:t>
            </w:r>
            <w:r w:rsidRPr="00C826A1">
              <w:t xml:space="preserve">isted on the ASX </w:t>
            </w:r>
            <w:r>
              <w:t xml:space="preserve">or another exchange locally or globally, </w:t>
            </w:r>
            <w:r w:rsidRPr="00C826A1">
              <w:t>and must therefore issue a prospectus to potential investors and follow the requirements set by the ASX and ASIC for public companies.</w:t>
            </w:r>
          </w:p>
          <w:p w14:paraId="457D5845" w14:textId="77777777" w:rsidR="006C67F9" w:rsidRPr="00C826A1" w:rsidRDefault="006C67F9" w:rsidP="006C67F9">
            <w:pPr>
              <w:pStyle w:val="TableBullets"/>
            </w:pPr>
            <w:r w:rsidRPr="00C826A1">
              <w:t>Must comply with the Corporations Act 2001 (Cth).</w:t>
            </w:r>
          </w:p>
          <w:p w14:paraId="74B03B09" w14:textId="77777777" w:rsidR="006C67F9" w:rsidRPr="00C826A1" w:rsidRDefault="006C67F9" w:rsidP="006C67F9">
            <w:pPr>
              <w:pStyle w:val="TableBullets"/>
            </w:pPr>
            <w:r w:rsidRPr="00C826A1">
              <w:t xml:space="preserve">Owners/shareholders have limited liability. </w:t>
            </w:r>
          </w:p>
          <w:p w14:paraId="27D5BEA8" w14:textId="77777777" w:rsidR="006C67F9" w:rsidRPr="00C826A1" w:rsidRDefault="006C67F9" w:rsidP="006C67F9">
            <w:pPr>
              <w:pStyle w:val="TableBullets"/>
            </w:pPr>
            <w:r w:rsidRPr="00C826A1">
              <w:t>Overseen by the Australian Securities and Investment Commission.</w:t>
            </w:r>
          </w:p>
        </w:tc>
      </w:tr>
    </w:tbl>
    <w:p w14:paraId="72EF1933" w14:textId="77777777" w:rsidR="006C67F9" w:rsidRDefault="006C67F9" w:rsidP="006C67F9">
      <w:pPr>
        <w:adjustRightInd/>
        <w:snapToGrid/>
        <w:spacing w:after="0"/>
        <w:rPr>
          <w:color w:val="2D6DF8" w:themeColor="accent2"/>
          <w:sz w:val="24"/>
        </w:rPr>
      </w:pPr>
    </w:p>
    <w:p w14:paraId="59A6A366" w14:textId="77777777" w:rsidR="006C67F9" w:rsidRDefault="006C67F9" w:rsidP="006C67F9">
      <w:pPr>
        <w:pStyle w:val="Heading1"/>
        <w:rPr>
          <w:iCs/>
          <w:lang w:eastAsia="en-AU"/>
        </w:rPr>
      </w:pPr>
      <w:r w:rsidRPr="00B66AF5">
        <w:rPr>
          <w:lang w:eastAsia="en-AU"/>
        </w:rPr>
        <w:t xml:space="preserve">Activity </w:t>
      </w:r>
      <w:r>
        <w:rPr>
          <w:lang w:eastAsia="en-AU"/>
        </w:rPr>
        <w:t>2</w:t>
      </w:r>
    </w:p>
    <w:p w14:paraId="68D77338" w14:textId="77777777" w:rsidR="006C67F9" w:rsidRPr="00494973" w:rsidRDefault="006C67F9" w:rsidP="006C67F9">
      <w:r w:rsidRPr="00494973">
        <w:rPr>
          <w:b/>
          <w:u w:val="single"/>
        </w:rPr>
        <w:t>Outline</w:t>
      </w:r>
      <w:r w:rsidRPr="00494973">
        <w:t xml:space="preserve"> </w:t>
      </w:r>
      <w:r>
        <w:t>two of</w:t>
      </w:r>
      <w:r w:rsidRPr="00494973">
        <w:t xml:space="preserve"> the main differences between a Private Company and a Public Company</w:t>
      </w:r>
    </w:p>
    <w:tbl>
      <w:tblPr>
        <w:tblStyle w:val="ASXTable"/>
        <w:tblW w:w="9356" w:type="dxa"/>
        <w:tblLook w:val="0480" w:firstRow="0" w:lastRow="0" w:firstColumn="1" w:lastColumn="0" w:noHBand="0" w:noVBand="1"/>
      </w:tblPr>
      <w:tblGrid>
        <w:gridCol w:w="9356"/>
      </w:tblGrid>
      <w:tr w:rsidR="006C67F9" w:rsidRPr="00FB4BE6" w14:paraId="481B01B8" w14:textId="77777777" w:rsidTr="00942DA4">
        <w:trPr>
          <w:trHeight w:val="20"/>
        </w:trPr>
        <w:tc>
          <w:tcPr>
            <w:tcW w:w="9356" w:type="dxa"/>
          </w:tcPr>
          <w:p w14:paraId="2C6C0C27" w14:textId="77777777" w:rsidR="006C67F9" w:rsidRPr="00E67598" w:rsidRDefault="006C67F9" w:rsidP="00942DA4">
            <w:pPr>
              <w:pStyle w:val="NormalNoSpacing"/>
              <w:spacing w:before="60" w:after="60"/>
              <w:contextualSpacing w:val="0"/>
            </w:pPr>
            <w:r>
              <w:t>1.</w:t>
            </w:r>
          </w:p>
        </w:tc>
      </w:tr>
      <w:tr w:rsidR="006C67F9" w:rsidRPr="00FB4BE6" w14:paraId="44CC3060" w14:textId="77777777" w:rsidTr="00942DA4">
        <w:trPr>
          <w:trHeight w:val="20"/>
        </w:trPr>
        <w:tc>
          <w:tcPr>
            <w:tcW w:w="9356" w:type="dxa"/>
          </w:tcPr>
          <w:p w14:paraId="4F1DC99B" w14:textId="77777777" w:rsidR="006C67F9" w:rsidRPr="00E67598" w:rsidRDefault="006C67F9" w:rsidP="00942DA4">
            <w:pPr>
              <w:pStyle w:val="NormalNoSpacing"/>
              <w:spacing w:before="60" w:after="60"/>
              <w:contextualSpacing w:val="0"/>
            </w:pPr>
          </w:p>
        </w:tc>
      </w:tr>
      <w:tr w:rsidR="006C67F9" w:rsidRPr="00FB4BE6" w14:paraId="134393D2" w14:textId="77777777" w:rsidTr="00942DA4">
        <w:trPr>
          <w:trHeight w:val="20"/>
        </w:trPr>
        <w:tc>
          <w:tcPr>
            <w:tcW w:w="9356" w:type="dxa"/>
          </w:tcPr>
          <w:p w14:paraId="6868B062" w14:textId="77777777" w:rsidR="006C67F9" w:rsidRPr="00E67598" w:rsidRDefault="006C67F9" w:rsidP="00942DA4">
            <w:pPr>
              <w:pStyle w:val="NormalNoSpacing"/>
              <w:spacing w:before="60" w:after="60"/>
              <w:contextualSpacing w:val="0"/>
            </w:pPr>
            <w:r>
              <w:t>2.</w:t>
            </w:r>
          </w:p>
        </w:tc>
      </w:tr>
      <w:tr w:rsidR="006C67F9" w:rsidRPr="00FB4BE6" w14:paraId="3797ED1C" w14:textId="77777777" w:rsidTr="00942DA4">
        <w:trPr>
          <w:trHeight w:val="20"/>
        </w:trPr>
        <w:tc>
          <w:tcPr>
            <w:tcW w:w="9356" w:type="dxa"/>
          </w:tcPr>
          <w:p w14:paraId="228A8834" w14:textId="77777777" w:rsidR="006C67F9" w:rsidRPr="00E67598" w:rsidRDefault="006C67F9" w:rsidP="00942DA4">
            <w:pPr>
              <w:pStyle w:val="NormalNoSpacing"/>
              <w:spacing w:before="60" w:after="60"/>
              <w:contextualSpacing w:val="0"/>
            </w:pPr>
          </w:p>
        </w:tc>
      </w:tr>
    </w:tbl>
    <w:p w14:paraId="5A702A2E" w14:textId="77777777" w:rsidR="006C67F9" w:rsidRDefault="006C67F9" w:rsidP="006C67F9">
      <w:pPr>
        <w:pStyle w:val="PulloutQuote"/>
        <w:jc w:val="left"/>
        <w:rPr>
          <w:rStyle w:val="Subheading"/>
          <w:b/>
        </w:rPr>
      </w:pPr>
    </w:p>
    <w:p w14:paraId="1C0F0CD7" w14:textId="77777777" w:rsidR="006C67F9" w:rsidRDefault="006C67F9" w:rsidP="006C67F9">
      <w:pPr>
        <w:pStyle w:val="PulloutQuote"/>
        <w:jc w:val="left"/>
        <w:rPr>
          <w:rStyle w:val="Subheading"/>
          <w:b/>
        </w:rPr>
      </w:pPr>
    </w:p>
    <w:p w14:paraId="086C5DB0" w14:textId="77777777" w:rsidR="006C67F9" w:rsidRPr="006C67F9" w:rsidRDefault="006C67F9" w:rsidP="006C67F9">
      <w:pPr>
        <w:pStyle w:val="Heading1"/>
        <w:rPr>
          <w:i/>
          <w:iCs/>
        </w:rPr>
      </w:pPr>
      <w:r w:rsidRPr="006C67F9">
        <w:rPr>
          <w:i/>
          <w:iCs/>
        </w:rPr>
        <w:lastRenderedPageBreak/>
        <w:t>What is in a name?</w:t>
      </w:r>
    </w:p>
    <w:p w14:paraId="4052EAA6" w14:textId="77777777" w:rsidR="006C67F9" w:rsidRPr="006C67F9" w:rsidRDefault="006C67F9" w:rsidP="006C67F9">
      <w:pPr>
        <w:pStyle w:val="Intro"/>
        <w:rPr>
          <w:rFonts w:eastAsiaTheme="minorHAnsi"/>
        </w:rPr>
      </w:pPr>
      <w:r w:rsidRPr="006C67F9">
        <w:rPr>
          <w:rFonts w:eastAsiaTheme="minorHAnsi"/>
        </w:rPr>
        <w:t xml:space="preserve">A business that is registered as a private company must have PTY LTD listed after its trading name. A business that is a public company must have LTD after its trading name. </w:t>
      </w:r>
    </w:p>
    <w:p w14:paraId="4800C79C" w14:textId="77777777" w:rsidR="006C67F9" w:rsidRPr="006D3882" w:rsidRDefault="006C67F9" w:rsidP="006C67F9">
      <w:pPr>
        <w:pStyle w:val="Heading2"/>
      </w:pPr>
      <w:r w:rsidRPr="006D3882">
        <w:t>The Secondary Market</w:t>
      </w:r>
    </w:p>
    <w:p w14:paraId="60F67553" w14:textId="77777777" w:rsidR="006C67F9" w:rsidRPr="00621474" w:rsidRDefault="006C67F9" w:rsidP="006C67F9">
      <w:r w:rsidRPr="00621474">
        <w:t xml:space="preserve">Once a share has floated and shares have been purchased by investors initially, shares are sold on the secondary market – in a way much like a second-hand car market. </w:t>
      </w:r>
    </w:p>
    <w:p w14:paraId="69FFE032" w14:textId="77777777" w:rsidR="006C67F9" w:rsidRPr="00621474" w:rsidRDefault="006C67F9" w:rsidP="006C67F9">
      <w:r w:rsidRPr="00621474">
        <w:t xml:space="preserve">After a company has listed on ASX and shares have been issued to investors through the primary market, the shares can be sold to other investors in the share market. Listing of companies on the market and the daily trading of their shares is </w:t>
      </w:r>
      <w:r>
        <w:t>a regular</w:t>
      </w:r>
      <w:r w:rsidRPr="00621474">
        <w:t xml:space="preserve"> activity of the Australian Securities Exchange.</w:t>
      </w:r>
    </w:p>
    <w:p w14:paraId="1848BF59" w14:textId="77777777" w:rsidR="006C67F9" w:rsidRDefault="006C67F9" w:rsidP="006C67F9">
      <w:pPr>
        <w:pStyle w:val="Heading2"/>
      </w:pPr>
      <w:r>
        <w:t xml:space="preserve">Market </w:t>
      </w:r>
      <w:r w:rsidRPr="006C67F9">
        <w:t>forces</w:t>
      </w:r>
      <w:r>
        <w:t xml:space="preserve"> </w:t>
      </w:r>
    </w:p>
    <w:p w14:paraId="39E1835D" w14:textId="77777777" w:rsidR="006C67F9" w:rsidRPr="00621474" w:rsidRDefault="006C67F9" w:rsidP="006C67F9">
      <w:r w:rsidRPr="00621474">
        <w:t xml:space="preserve">Demand refers to how many people want to buy something and how much they are prepared to pay. Supply refers to how many people are prepared to sell something and the price they want for it. The sharemarket is like any other market - price is decided by the forces of </w:t>
      </w:r>
      <w:r w:rsidRPr="00621474">
        <w:rPr>
          <w:i/>
        </w:rPr>
        <w:t>supply</w:t>
      </w:r>
      <w:r w:rsidRPr="00621474">
        <w:t xml:space="preserve"> and </w:t>
      </w:r>
      <w:r w:rsidRPr="00621474">
        <w:rPr>
          <w:i/>
        </w:rPr>
        <w:t>demand</w:t>
      </w:r>
      <w:r w:rsidRPr="00621474">
        <w:t>.</w:t>
      </w:r>
    </w:p>
    <w:p w14:paraId="1B794BF2" w14:textId="77777777" w:rsidR="006C67F9" w:rsidRPr="008D4A17" w:rsidRDefault="006C67F9" w:rsidP="006C67F9">
      <w:r w:rsidRPr="008D4A17">
        <w:t xml:space="preserve">When there is a lot of demand by investors for a particular company, the share price will rise. If there is falling demand for the share, the price will fall. </w:t>
      </w:r>
    </w:p>
    <w:p w14:paraId="17634F7E" w14:textId="77777777" w:rsidR="006C67F9" w:rsidRDefault="006C67F9" w:rsidP="006C67F9">
      <w:r w:rsidRPr="008D4A17">
        <w:t xml:space="preserve">The following is an example of shares for ABC Construction Ltd, a fictitious company on the share market. Due to announcements that they are ahead of time in completing a major construction project, the demand for their shares increases as investors anticipate greater dividends, causing the price of their shares to increase. </w:t>
      </w:r>
      <w:r w:rsidRPr="009E576D">
        <w:t>If the opposite was to happen and a major delay was to impact on the finishing date of the construction project, then shareholders may decide to sell their shares, leading to a drop in demand for those shares due to a fall in anticipated dividends.</w:t>
      </w:r>
    </w:p>
    <w:p w14:paraId="57ED60AD" w14:textId="77777777" w:rsidR="006C67F9" w:rsidRDefault="006C67F9" w:rsidP="006C67F9">
      <w:r w:rsidRPr="002F7CC7">
        <w:rPr>
          <w:noProof/>
        </w:rPr>
        <w:drawing>
          <wp:inline distT="0" distB="0" distL="0" distR="0" wp14:anchorId="19BD30A0" wp14:editId="0E96066E">
            <wp:extent cx="6120130" cy="1828540"/>
            <wp:effectExtent l="0" t="0" r="0" b="635"/>
            <wp:docPr id="8" name="Picture 8"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 shot of a computer screen&#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130" cy="1828540"/>
                    </a:xfrm>
                    <a:prstGeom prst="rect">
                      <a:avLst/>
                    </a:prstGeom>
                  </pic:spPr>
                </pic:pic>
              </a:graphicData>
            </a:graphic>
          </wp:inline>
        </w:drawing>
      </w:r>
    </w:p>
    <w:p w14:paraId="48A2A6C3" w14:textId="77777777" w:rsidR="006C67F9" w:rsidRPr="002F7CC7" w:rsidRDefault="006C67F9" w:rsidP="006C67F9">
      <w:pPr>
        <w:pStyle w:val="Bodycopy"/>
        <w:rPr>
          <w:sz w:val="16"/>
          <w:szCs w:val="16"/>
        </w:rPr>
      </w:pPr>
      <w:r w:rsidRPr="002F7CC7">
        <w:rPr>
          <w:noProof/>
          <w:sz w:val="16"/>
          <w:szCs w:val="16"/>
          <w:lang w:val="en-AU"/>
        </w:rPr>
        <mc:AlternateContent>
          <mc:Choice Requires="wps">
            <w:drawing>
              <wp:anchor distT="0" distB="0" distL="114300" distR="114300" simplePos="0" relativeHeight="251663360" behindDoc="0" locked="0" layoutInCell="1" allowOverlap="1" wp14:anchorId="1FB439DB" wp14:editId="601C402D">
                <wp:simplePos x="0" y="0"/>
                <wp:positionH relativeFrom="column">
                  <wp:posOffset>234315</wp:posOffset>
                </wp:positionH>
                <wp:positionV relativeFrom="paragraph">
                  <wp:posOffset>59662</wp:posOffset>
                </wp:positionV>
                <wp:extent cx="5668270" cy="0"/>
                <wp:effectExtent l="0" t="0" r="27940" b="19050"/>
                <wp:wrapNone/>
                <wp:docPr id="339825192" name="Straight Connector 339825192"/>
                <wp:cNvGraphicFramePr/>
                <a:graphic xmlns:a="http://schemas.openxmlformats.org/drawingml/2006/main">
                  <a:graphicData uri="http://schemas.microsoft.com/office/word/2010/wordprocessingShape">
                    <wps:wsp>
                      <wps:cNvCnPr/>
                      <wps:spPr>
                        <a:xfrm>
                          <a:off x="0" y="0"/>
                          <a:ext cx="5668270" cy="0"/>
                        </a:xfrm>
                        <a:prstGeom prst="line">
                          <a:avLst/>
                        </a:prstGeom>
                        <a:ln w="635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9524FA8" id="Straight Connector 339825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5pt,4.7pt" to="464.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" strokecolor="#2d6df8 [3205]" strokeweight=".5pt">
                <v:stroke joinstyle="miter"/>
              </v:line>
            </w:pict>
          </mc:Fallback>
        </mc:AlternateContent>
      </w:r>
    </w:p>
    <w:p w14:paraId="22E45F7B" w14:textId="77777777" w:rsidR="006C67F9" w:rsidRDefault="006C67F9" w:rsidP="006C67F9">
      <w:r>
        <w:rPr>
          <w:noProof/>
        </w:rPr>
        <w:drawing>
          <wp:inline distT="0" distB="0" distL="0" distR="0" wp14:anchorId="36D6F256" wp14:editId="4F6C7374">
            <wp:extent cx="6120130" cy="1828800"/>
            <wp:effectExtent l="0" t="0" r="0" b="0"/>
            <wp:docPr id="2" name="Picture 2"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computer scree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1828800"/>
                    </a:xfrm>
                    <a:prstGeom prst="rect">
                      <a:avLst/>
                    </a:prstGeom>
                  </pic:spPr>
                </pic:pic>
              </a:graphicData>
            </a:graphic>
          </wp:inline>
        </w:drawing>
      </w:r>
    </w:p>
    <w:p w14:paraId="2E2FC6F4" w14:textId="77777777" w:rsidR="006C67F9" w:rsidRPr="004D503A" w:rsidRDefault="006C67F9" w:rsidP="006C67F9">
      <w:pPr>
        <w:pStyle w:val="Heading2"/>
      </w:pPr>
      <w:r>
        <w:br w:type="page"/>
      </w:r>
      <w:r w:rsidRPr="004D503A">
        <w:lastRenderedPageBreak/>
        <w:t xml:space="preserve">How the Sharemarket works </w:t>
      </w:r>
    </w:p>
    <w:p w14:paraId="79F04D3D" w14:textId="77777777" w:rsidR="006C67F9" w:rsidRDefault="006C67F9" w:rsidP="006C67F9">
      <w:r>
        <w:t>Buyers and sellers in the sharemarket exchange shares for a particular price. When both buyer and seller agree on a price per share, a trade takes place.</w:t>
      </w:r>
    </w:p>
    <w:p w14:paraId="12D00BC2" w14:textId="77777777" w:rsidR="006C67F9" w:rsidRDefault="006C67F9" w:rsidP="006C67F9">
      <w:r>
        <w:t>The following table shows how shares are traded on the secondary market:</w:t>
      </w:r>
    </w:p>
    <w:p w14:paraId="525FC8D9" w14:textId="77777777" w:rsidR="006C67F9" w:rsidRDefault="006C67F9" w:rsidP="006C67F9">
      <w:pPr>
        <w:pStyle w:val="Heading3"/>
      </w:pPr>
      <w:r>
        <w:t>Table 1: Company XYZ</w:t>
      </w:r>
    </w:p>
    <w:tbl>
      <w:tblPr>
        <w:tblStyle w:val="ASXTable"/>
        <w:tblW w:w="5000" w:type="pct"/>
        <w:tblLook w:val="04A0" w:firstRow="1" w:lastRow="0" w:firstColumn="1" w:lastColumn="0" w:noHBand="0" w:noVBand="1"/>
      </w:tblPr>
      <w:tblGrid>
        <w:gridCol w:w="2356"/>
        <w:gridCol w:w="2355"/>
        <w:gridCol w:w="2355"/>
        <w:gridCol w:w="1569"/>
        <w:gridCol w:w="1569"/>
      </w:tblGrid>
      <w:tr w:rsidR="006C67F9" w14:paraId="4A2E8C1B" w14:textId="77777777" w:rsidTr="006C67F9">
        <w:trPr>
          <w:cnfStyle w:val="100000000000" w:firstRow="1" w:lastRow="0" w:firstColumn="0" w:lastColumn="0" w:oddVBand="0" w:evenVBand="0" w:oddHBand="0" w:evenHBand="0" w:firstRowFirstColumn="0" w:firstRowLastColumn="0" w:lastRowFirstColumn="0" w:lastRowLastColumn="0"/>
        </w:trPr>
        <w:tc>
          <w:tcPr>
            <w:tcW w:w="1154" w:type="pct"/>
          </w:tcPr>
          <w:p w14:paraId="3FA90F96" w14:textId="77777777" w:rsidR="006C67F9" w:rsidRPr="000F7B79" w:rsidRDefault="006C67F9" w:rsidP="006C67F9">
            <w:pPr>
              <w:pStyle w:val="TableHeadingWhite"/>
            </w:pPr>
            <w:r>
              <w:t xml:space="preserve"> Buyer</w:t>
            </w:r>
            <w:r w:rsidRPr="000F7B79">
              <w:t xml:space="preserve"> </w:t>
            </w:r>
          </w:p>
        </w:tc>
        <w:tc>
          <w:tcPr>
            <w:tcW w:w="1154" w:type="pct"/>
          </w:tcPr>
          <w:p w14:paraId="53C7D6C4" w14:textId="77777777" w:rsidR="006C67F9" w:rsidRPr="000F7B79" w:rsidRDefault="006C67F9" w:rsidP="006C67F9">
            <w:pPr>
              <w:pStyle w:val="TableHeadingWhite"/>
            </w:pPr>
            <w:r>
              <w:t>Bid Price</w:t>
            </w:r>
          </w:p>
        </w:tc>
        <w:tc>
          <w:tcPr>
            <w:tcW w:w="1154" w:type="pct"/>
          </w:tcPr>
          <w:p w14:paraId="3486FEE9" w14:textId="77777777" w:rsidR="006C67F9" w:rsidRPr="000F7B79" w:rsidRDefault="006C67F9" w:rsidP="006C67F9">
            <w:pPr>
              <w:pStyle w:val="TableHeadingWhite"/>
            </w:pPr>
            <w:r>
              <w:t>Seller</w:t>
            </w:r>
          </w:p>
        </w:tc>
        <w:tc>
          <w:tcPr>
            <w:tcW w:w="769" w:type="pct"/>
          </w:tcPr>
          <w:p w14:paraId="39EE0517" w14:textId="77777777" w:rsidR="006C67F9" w:rsidRPr="00C23C63" w:rsidRDefault="006C67F9" w:rsidP="006C67F9">
            <w:pPr>
              <w:pStyle w:val="TableHeadingWhite"/>
            </w:pPr>
            <w:r>
              <w:t>Ask Price</w:t>
            </w:r>
          </w:p>
        </w:tc>
        <w:tc>
          <w:tcPr>
            <w:tcW w:w="769" w:type="pct"/>
          </w:tcPr>
          <w:p w14:paraId="7B461207" w14:textId="77777777" w:rsidR="006C67F9" w:rsidRDefault="006C67F9" w:rsidP="006C67F9">
            <w:pPr>
              <w:pStyle w:val="TableHeadingWhite"/>
            </w:pPr>
          </w:p>
        </w:tc>
      </w:tr>
      <w:tr w:rsidR="006C67F9" w14:paraId="506EF60A" w14:textId="77777777" w:rsidTr="006C67F9">
        <w:tc>
          <w:tcPr>
            <w:tcW w:w="1154" w:type="pct"/>
          </w:tcPr>
          <w:p w14:paraId="76C1C17F" w14:textId="77777777" w:rsidR="006C67F9" w:rsidRPr="00DD4591" w:rsidRDefault="006C67F9" w:rsidP="00D67536">
            <w:pPr>
              <w:pStyle w:val="TableText"/>
              <w:rPr>
                <w:b/>
              </w:rPr>
            </w:pPr>
            <w:r w:rsidRPr="00DD4591">
              <w:rPr>
                <w:b/>
              </w:rPr>
              <w:t>Buyer A</w:t>
            </w:r>
          </w:p>
        </w:tc>
        <w:tc>
          <w:tcPr>
            <w:tcW w:w="1154" w:type="pct"/>
          </w:tcPr>
          <w:p w14:paraId="02290F3D" w14:textId="77777777" w:rsidR="006C67F9" w:rsidRPr="00DD4591" w:rsidRDefault="006C67F9" w:rsidP="00D67536">
            <w:pPr>
              <w:pStyle w:val="TableText"/>
              <w:rPr>
                <w:rFonts w:cstheme="minorHAnsi"/>
              </w:rPr>
            </w:pPr>
            <w:r w:rsidRPr="00DD4591">
              <w:rPr>
                <w:rFonts w:cstheme="minorHAnsi"/>
              </w:rPr>
              <w:t>$1.00</w:t>
            </w:r>
          </w:p>
        </w:tc>
        <w:tc>
          <w:tcPr>
            <w:tcW w:w="1154" w:type="pct"/>
          </w:tcPr>
          <w:p w14:paraId="7C3A526D" w14:textId="77777777" w:rsidR="006C67F9" w:rsidRPr="000F7B79" w:rsidRDefault="006C67F9" w:rsidP="00D67536">
            <w:pPr>
              <w:pStyle w:val="TableText"/>
              <w:rPr>
                <w:rFonts w:cstheme="minorHAnsi"/>
              </w:rPr>
            </w:pPr>
            <w:r>
              <w:rPr>
                <w:rFonts w:cstheme="minorHAnsi"/>
                <w:color w:val="2E2E2E"/>
                <w:shd w:val="clear" w:color="auto" w:fill="FFFFFF"/>
              </w:rPr>
              <w:t>Seller D</w:t>
            </w:r>
          </w:p>
        </w:tc>
        <w:tc>
          <w:tcPr>
            <w:tcW w:w="769" w:type="pct"/>
          </w:tcPr>
          <w:p w14:paraId="64791370" w14:textId="77777777" w:rsidR="006C67F9" w:rsidRDefault="006C67F9" w:rsidP="00D67536">
            <w:pPr>
              <w:pStyle w:val="TableText"/>
            </w:pPr>
            <w:r>
              <w:t>$1.05</w:t>
            </w:r>
          </w:p>
        </w:tc>
        <w:tc>
          <w:tcPr>
            <w:tcW w:w="769" w:type="pct"/>
          </w:tcPr>
          <w:p w14:paraId="13EB9990" w14:textId="77777777" w:rsidR="006C67F9" w:rsidRDefault="006C67F9" w:rsidP="00D67536">
            <w:pPr>
              <w:pStyle w:val="TableText"/>
            </w:pPr>
          </w:p>
        </w:tc>
      </w:tr>
      <w:tr w:rsidR="003553E5" w14:paraId="4D4DAC06" w14:textId="77777777" w:rsidTr="003553E5">
        <w:tc>
          <w:tcPr>
            <w:tcW w:w="1154" w:type="pct"/>
            <w:shd w:val="clear" w:color="auto" w:fill="F2F2F2" w:themeFill="background1" w:themeFillShade="F2"/>
          </w:tcPr>
          <w:p w14:paraId="4BE1B779" w14:textId="77777777" w:rsidR="006C67F9" w:rsidRPr="003D72A5" w:rsidRDefault="006C67F9" w:rsidP="00D67536">
            <w:pPr>
              <w:pStyle w:val="TableText"/>
              <w:rPr>
                <w:b/>
              </w:rPr>
            </w:pPr>
            <w:r>
              <w:rPr>
                <w:b/>
              </w:rPr>
              <w:t>Buyer B</w:t>
            </w:r>
          </w:p>
        </w:tc>
        <w:tc>
          <w:tcPr>
            <w:tcW w:w="1154" w:type="pct"/>
            <w:shd w:val="clear" w:color="auto" w:fill="F2F2F2" w:themeFill="background1" w:themeFillShade="F2"/>
          </w:tcPr>
          <w:p w14:paraId="2D486EA1" w14:textId="77777777" w:rsidR="006C67F9" w:rsidRPr="000F7B79" w:rsidRDefault="006C67F9" w:rsidP="00D67536">
            <w:pPr>
              <w:pStyle w:val="TableText"/>
              <w:rPr>
                <w:rFonts w:cstheme="minorHAnsi"/>
              </w:rPr>
            </w:pPr>
            <w:r>
              <w:rPr>
                <w:rFonts w:cstheme="minorHAnsi"/>
              </w:rPr>
              <w:t>99 cents</w:t>
            </w:r>
          </w:p>
        </w:tc>
        <w:tc>
          <w:tcPr>
            <w:tcW w:w="1154" w:type="pct"/>
            <w:shd w:val="clear" w:color="auto" w:fill="F2F2F2" w:themeFill="background1" w:themeFillShade="F2"/>
          </w:tcPr>
          <w:p w14:paraId="4EC8EFE1" w14:textId="77777777" w:rsidR="006C67F9" w:rsidRPr="000F7B79" w:rsidRDefault="006C67F9" w:rsidP="00D67536">
            <w:pPr>
              <w:pStyle w:val="TableText"/>
              <w:rPr>
                <w:rFonts w:cstheme="minorHAnsi"/>
              </w:rPr>
            </w:pPr>
            <w:r>
              <w:rPr>
                <w:rFonts w:cstheme="minorHAnsi"/>
              </w:rPr>
              <w:t>Seller E</w:t>
            </w:r>
          </w:p>
        </w:tc>
        <w:tc>
          <w:tcPr>
            <w:tcW w:w="769" w:type="pct"/>
            <w:shd w:val="clear" w:color="auto" w:fill="F2F2F2" w:themeFill="background1" w:themeFillShade="F2"/>
          </w:tcPr>
          <w:p w14:paraId="0DA758F8" w14:textId="77777777" w:rsidR="006C67F9" w:rsidRDefault="006C67F9" w:rsidP="00D67536">
            <w:pPr>
              <w:pStyle w:val="TableText"/>
            </w:pPr>
            <w:r>
              <w:rPr>
                <w:noProof/>
                <w:lang w:eastAsia="en-AU"/>
              </w:rPr>
              <mc:AlternateContent>
                <mc:Choice Requires="wps">
                  <w:drawing>
                    <wp:anchor distT="0" distB="0" distL="114300" distR="114300" simplePos="0" relativeHeight="251662336" behindDoc="0" locked="0" layoutInCell="1" allowOverlap="1" wp14:anchorId="13EE1668" wp14:editId="76BE84D3">
                      <wp:simplePos x="0" y="0"/>
                      <wp:positionH relativeFrom="column">
                        <wp:posOffset>375285</wp:posOffset>
                      </wp:positionH>
                      <wp:positionV relativeFrom="paragraph">
                        <wp:posOffset>97790</wp:posOffset>
                      </wp:positionV>
                      <wp:extent cx="224769" cy="0"/>
                      <wp:effectExtent l="0" t="76200" r="23495" b="95250"/>
                      <wp:wrapNone/>
                      <wp:docPr id="7" name="Straight Arrow Connector 7"/>
                      <wp:cNvGraphicFramePr/>
                      <a:graphic xmlns:a="http://schemas.openxmlformats.org/drawingml/2006/main">
                        <a:graphicData uri="http://schemas.microsoft.com/office/word/2010/wordprocessingShape">
                          <wps:wsp>
                            <wps:cNvCnPr/>
                            <wps:spPr>
                              <a:xfrm>
                                <a:off x="0" y="0"/>
                                <a:ext cx="224769"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7F569CC" id="_x0000_t32" coordsize="21600,21600" o:spt="32" o:oned="t" path="m,l21600,21600e" filled="f">
                      <v:path arrowok="t" fillok="f" o:connecttype="none"/>
                      <o:lock v:ext="edit" shapetype="t"/>
                    </v:shapetype>
                    <v:shape id="Straight Arrow Connector 7" o:spid="_x0000_s1026" type="#_x0000_t32" style="position:absolute;margin-left:29.55pt;margin-top:7.7pt;width:17.7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" strokecolor="#2d6df8 [3205]" strokeweight="1pt">
                      <v:stroke endarrow="block" joinstyle="miter"/>
                    </v:shape>
                  </w:pict>
                </mc:Fallback>
              </mc:AlternateContent>
            </w:r>
            <w:r>
              <w:t>$1.00</w:t>
            </w:r>
          </w:p>
        </w:tc>
        <w:tc>
          <w:tcPr>
            <w:tcW w:w="769" w:type="pct"/>
            <w:shd w:val="clear" w:color="auto" w:fill="F2F2F2" w:themeFill="background1" w:themeFillShade="F2"/>
          </w:tcPr>
          <w:p w14:paraId="680CC77B" w14:textId="77777777" w:rsidR="006C67F9" w:rsidRDefault="006C67F9" w:rsidP="00D67536">
            <w:pPr>
              <w:pStyle w:val="TableText"/>
            </w:pPr>
            <w:r w:rsidRPr="00DD4591">
              <w:rPr>
                <w:color w:val="000000" w:themeColor="text2"/>
              </w:rPr>
              <w:t>= Trade</w:t>
            </w:r>
          </w:p>
        </w:tc>
      </w:tr>
      <w:tr w:rsidR="006C67F9" w14:paraId="6462C2D6" w14:textId="77777777" w:rsidTr="006C67F9">
        <w:tc>
          <w:tcPr>
            <w:tcW w:w="1154" w:type="pct"/>
          </w:tcPr>
          <w:p w14:paraId="37CD4310" w14:textId="77777777" w:rsidR="006C67F9" w:rsidRPr="003D72A5" w:rsidRDefault="006C67F9" w:rsidP="00D67536">
            <w:pPr>
              <w:pStyle w:val="TableText"/>
              <w:rPr>
                <w:b/>
              </w:rPr>
            </w:pPr>
            <w:r>
              <w:rPr>
                <w:b/>
              </w:rPr>
              <w:t>Buyer C</w:t>
            </w:r>
          </w:p>
        </w:tc>
        <w:tc>
          <w:tcPr>
            <w:tcW w:w="1154" w:type="pct"/>
          </w:tcPr>
          <w:p w14:paraId="58929155" w14:textId="77777777" w:rsidR="006C67F9" w:rsidRPr="000F7B79" w:rsidRDefault="006C67F9" w:rsidP="00D67536">
            <w:pPr>
              <w:pStyle w:val="TableText"/>
              <w:rPr>
                <w:rFonts w:cstheme="minorHAnsi"/>
              </w:rPr>
            </w:pPr>
            <w:r>
              <w:rPr>
                <w:rFonts w:cstheme="minorHAnsi"/>
              </w:rPr>
              <w:t>98 cents</w:t>
            </w:r>
          </w:p>
        </w:tc>
        <w:tc>
          <w:tcPr>
            <w:tcW w:w="1154" w:type="pct"/>
          </w:tcPr>
          <w:p w14:paraId="09DE3F87" w14:textId="77777777" w:rsidR="006C67F9" w:rsidRPr="000F7B79" w:rsidRDefault="006C67F9" w:rsidP="00D67536">
            <w:pPr>
              <w:pStyle w:val="TableText"/>
              <w:rPr>
                <w:rFonts w:cstheme="minorHAnsi"/>
              </w:rPr>
            </w:pPr>
            <w:r>
              <w:rPr>
                <w:rFonts w:cstheme="minorHAnsi"/>
              </w:rPr>
              <w:t>Seller F</w:t>
            </w:r>
          </w:p>
        </w:tc>
        <w:tc>
          <w:tcPr>
            <w:tcW w:w="769" w:type="pct"/>
          </w:tcPr>
          <w:p w14:paraId="2E37C2C2" w14:textId="77777777" w:rsidR="006C67F9" w:rsidRDefault="006C67F9" w:rsidP="00D67536">
            <w:pPr>
              <w:pStyle w:val="TableText"/>
            </w:pPr>
            <w:r>
              <w:t>$1.06</w:t>
            </w:r>
          </w:p>
        </w:tc>
        <w:tc>
          <w:tcPr>
            <w:tcW w:w="769" w:type="pct"/>
          </w:tcPr>
          <w:p w14:paraId="2C376678" w14:textId="77777777" w:rsidR="006C67F9" w:rsidRDefault="006C67F9" w:rsidP="00D67536">
            <w:pPr>
              <w:pStyle w:val="TableText"/>
            </w:pPr>
          </w:p>
        </w:tc>
      </w:tr>
    </w:tbl>
    <w:p w14:paraId="3BD98341" w14:textId="77777777" w:rsidR="006C67F9" w:rsidRDefault="006C67F9" w:rsidP="006C67F9">
      <w:pPr>
        <w:pStyle w:val="Bodycopy"/>
      </w:pPr>
    </w:p>
    <w:p w14:paraId="228D2397" w14:textId="77777777" w:rsidR="006C67F9" w:rsidRPr="006D64EB" w:rsidRDefault="006C67F9" w:rsidP="006C67F9">
      <w:r w:rsidRPr="006D64EB">
        <w:t xml:space="preserve">As seen in Table 1, there are three buyers and three sellers of shares in XYZ Company. Buyer A is prepared to buy XYZ shares at $1.00 per share. Buyer B and C prefer to pay less so Buyer A has placed the highest “bid”. For a trade to take place there needs to be a seller wishing to sell the shares at $1 per share and that is Seller E. </w:t>
      </w:r>
    </w:p>
    <w:p w14:paraId="1B9B1C91" w14:textId="77777777" w:rsidR="006C67F9" w:rsidRPr="006D64EB" w:rsidRDefault="006C67F9" w:rsidP="006C67F9">
      <w:r w:rsidRPr="006D64EB">
        <w:t xml:space="preserve">The lowest price a seller is willing to accept for their stock is called the “Ask” price (because that is the price that the seller is “asking” for the stock). Seller E has agreed to sell XYZ shares at the lowest price being $1 per share. Seller D and F are expecting to sell their shares at a higher price so will either have to wait for a buyer to agree to buy the shares at that higher price or they will have to drop their asking price in order to sell the shares. </w:t>
      </w:r>
    </w:p>
    <w:p w14:paraId="28A3AFCF" w14:textId="77777777" w:rsidR="006C67F9" w:rsidRPr="006D64EB" w:rsidRDefault="006C67F9" w:rsidP="006C67F9">
      <w:r w:rsidRPr="006D64EB">
        <w:t>The price of shares on the secondary share market is determined by demand and supply just like other markets. When the demand for a stock is greater than the number of shares available at a particular price, the price of the stock increases. When there is no demand for a stock at a particular price, the price falls.</w:t>
      </w:r>
    </w:p>
    <w:p w14:paraId="4AADEAE5" w14:textId="77777777" w:rsidR="006C67F9" w:rsidRDefault="006C67F9" w:rsidP="006C67F9">
      <w:pPr>
        <w:pStyle w:val="Heading1"/>
        <w:rPr>
          <w:iCs/>
        </w:rPr>
      </w:pPr>
      <w:r w:rsidRPr="00305171">
        <w:t>Activity 3</w:t>
      </w:r>
    </w:p>
    <w:p w14:paraId="0D1940F7" w14:textId="77777777" w:rsidR="006C67F9" w:rsidRPr="00305171" w:rsidRDefault="006C67F9" w:rsidP="006C67F9">
      <w:pPr>
        <w:pStyle w:val="Heading2"/>
      </w:pPr>
      <w:r w:rsidRPr="00305171">
        <w:t xml:space="preserve">Revision for </w:t>
      </w:r>
      <w:r w:rsidRPr="006C67F9">
        <w:t>Lesson</w:t>
      </w:r>
      <w:r w:rsidRPr="00305171">
        <w:t xml:space="preserve"> 2</w:t>
      </w:r>
    </w:p>
    <w:p w14:paraId="1CDDFB2E" w14:textId="77777777" w:rsidR="006C67F9" w:rsidRDefault="006C67F9" w:rsidP="006C67F9">
      <w:pPr>
        <w:pStyle w:val="ListNumber"/>
        <w:adjustRightInd/>
        <w:snapToGrid/>
        <w:spacing w:line="240" w:lineRule="auto"/>
      </w:pPr>
      <w:r w:rsidRPr="00CD4774">
        <w:rPr>
          <w:b/>
          <w:bCs/>
          <w:u w:val="single"/>
        </w:rPr>
        <w:t>Explain</w:t>
      </w:r>
      <w:r>
        <w:t xml:space="preserve"> </w:t>
      </w:r>
      <w:r w:rsidRPr="00305171">
        <w:t>how market announcements</w:t>
      </w:r>
      <w:r>
        <w:t xml:space="preserve"> may impact on share prices. </w:t>
      </w:r>
    </w:p>
    <w:p w14:paraId="0AF9D713" w14:textId="77777777" w:rsidR="006C67F9" w:rsidRDefault="006C67F9" w:rsidP="006C67F9">
      <w:pPr>
        <w:pStyle w:val="ListNumber"/>
        <w:adjustRightInd/>
        <w:snapToGrid/>
        <w:spacing w:line="240" w:lineRule="auto"/>
      </w:pPr>
      <w:r w:rsidRPr="00CD4774">
        <w:rPr>
          <w:b/>
          <w:bCs/>
          <w:u w:val="single"/>
        </w:rPr>
        <w:t>Distinguish</w:t>
      </w:r>
      <w:r>
        <w:t xml:space="preserve"> between the primary and secondary markets.</w:t>
      </w:r>
    </w:p>
    <w:p w14:paraId="2DBCB2B2" w14:textId="77777777" w:rsidR="006C67F9" w:rsidRDefault="006C67F9" w:rsidP="006C67F9">
      <w:pPr>
        <w:pStyle w:val="ListNumber"/>
        <w:adjustRightInd/>
        <w:snapToGrid/>
        <w:spacing w:line="240" w:lineRule="auto"/>
      </w:pPr>
      <w:r w:rsidRPr="00CD4774">
        <w:rPr>
          <w:b/>
          <w:bCs/>
          <w:u w:val="single"/>
        </w:rPr>
        <w:t>Outline</w:t>
      </w:r>
      <w:r>
        <w:t xml:space="preserve"> the benefits and risks of a company changing its legal structure from being a private company to a public company. </w:t>
      </w:r>
    </w:p>
    <w:p w14:paraId="3B201262" w14:textId="77777777" w:rsidR="006C67F9" w:rsidRDefault="006C67F9" w:rsidP="006C67F9">
      <w:pPr>
        <w:pStyle w:val="ListNumber"/>
        <w:adjustRightInd/>
        <w:snapToGrid/>
        <w:spacing w:line="240" w:lineRule="auto"/>
      </w:pPr>
      <w:r w:rsidRPr="00CD4774">
        <w:rPr>
          <w:b/>
          <w:bCs/>
          <w:u w:val="single"/>
        </w:rPr>
        <w:t xml:space="preserve">Outline </w:t>
      </w:r>
      <w:r>
        <w:t xml:space="preserve">the listing requirements of a company changing its legal structure from being a private company to a public company. </w:t>
      </w:r>
    </w:p>
    <w:p w14:paraId="586E0A86" w14:textId="77777777" w:rsidR="006C67F9" w:rsidRDefault="006C67F9" w:rsidP="006C67F9">
      <w:pPr>
        <w:pStyle w:val="ListNumber"/>
        <w:adjustRightInd/>
        <w:snapToGrid/>
        <w:spacing w:line="240" w:lineRule="auto"/>
      </w:pPr>
      <w:r w:rsidRPr="00CD4774">
        <w:rPr>
          <w:b/>
          <w:bCs/>
          <w:u w:val="single"/>
        </w:rPr>
        <w:t>Analyse</w:t>
      </w:r>
      <w:r>
        <w:t xml:space="preserve"> how supply and demand may impact on share price after using an existing company on the share market as an example.</w:t>
      </w:r>
    </w:p>
    <w:p w14:paraId="7C30049B" w14:textId="77777777" w:rsidR="006C67F9" w:rsidRDefault="006C67F9" w:rsidP="003553E5">
      <w:pPr>
        <w:pStyle w:val="Heading2"/>
      </w:pPr>
      <w:r w:rsidRPr="004D503A">
        <w:t>T</w:t>
      </w:r>
      <w:r>
        <w:t>erminology (</w:t>
      </w:r>
      <w:r w:rsidRPr="003553E5">
        <w:t>skill</w:t>
      </w:r>
      <w:r>
        <w:t xml:space="preserve"> directives)</w:t>
      </w:r>
    </w:p>
    <w:tbl>
      <w:tblPr>
        <w:tblStyle w:val="ASXTable"/>
        <w:tblW w:w="0" w:type="auto"/>
        <w:tblLook w:val="0480" w:firstRow="0" w:lastRow="0" w:firstColumn="1" w:lastColumn="0" w:noHBand="0" w:noVBand="1"/>
      </w:tblPr>
      <w:tblGrid>
        <w:gridCol w:w="1701"/>
        <w:gridCol w:w="8493"/>
      </w:tblGrid>
      <w:tr w:rsidR="003553E5" w14:paraId="1BF2FDAF" w14:textId="77777777" w:rsidTr="003553E5">
        <w:tc>
          <w:tcPr>
            <w:tcW w:w="1701" w:type="dxa"/>
            <w:tcBorders>
              <w:top w:val="single" w:sz="4" w:space="0" w:color="auto"/>
            </w:tcBorders>
          </w:tcPr>
          <w:p w14:paraId="6D9429EA" w14:textId="5E53029E" w:rsidR="003553E5" w:rsidRPr="001F4848" w:rsidRDefault="003553E5" w:rsidP="00D67536">
            <w:pPr>
              <w:pStyle w:val="NormalNoSpacing"/>
              <w:spacing w:before="120" w:after="120"/>
              <w:contextualSpacing w:val="0"/>
              <w:rPr>
                <w:b/>
                <w:bCs/>
              </w:rPr>
            </w:pPr>
            <w:r>
              <w:rPr>
                <w:b/>
                <w:bCs/>
              </w:rPr>
              <w:t>Identity</w:t>
            </w:r>
          </w:p>
        </w:tc>
        <w:tc>
          <w:tcPr>
            <w:tcW w:w="8493" w:type="dxa"/>
            <w:tcBorders>
              <w:top w:val="single" w:sz="4" w:space="0" w:color="auto"/>
            </w:tcBorders>
            <w:vAlign w:val="center"/>
          </w:tcPr>
          <w:p w14:paraId="6818D6BD" w14:textId="7B52B7C1" w:rsidR="003553E5" w:rsidRDefault="003553E5" w:rsidP="003553E5">
            <w:pPr>
              <w:spacing w:after="80"/>
            </w:pPr>
            <w:r w:rsidRPr="00786FDF">
              <w:t xml:space="preserve">Recognise and name; </w:t>
            </w:r>
            <w:r>
              <w:t>e</w:t>
            </w:r>
            <w:r w:rsidRPr="00786FDF">
              <w:t>stablish or indicate who or what someone or something is.</w:t>
            </w:r>
          </w:p>
        </w:tc>
      </w:tr>
      <w:tr w:rsidR="003553E5" w14:paraId="3CF00402" w14:textId="77777777" w:rsidTr="003553E5">
        <w:tc>
          <w:tcPr>
            <w:tcW w:w="1701" w:type="dxa"/>
          </w:tcPr>
          <w:p w14:paraId="53FAE110" w14:textId="006B5B8D" w:rsidR="003553E5" w:rsidRPr="001F4848" w:rsidRDefault="003553E5" w:rsidP="00D67536">
            <w:pPr>
              <w:pStyle w:val="NormalNoSpacing"/>
              <w:spacing w:before="120" w:after="120"/>
              <w:contextualSpacing w:val="0"/>
              <w:rPr>
                <w:b/>
                <w:bCs/>
              </w:rPr>
            </w:pPr>
            <w:r>
              <w:rPr>
                <w:b/>
                <w:bCs/>
              </w:rPr>
              <w:t>Outline</w:t>
            </w:r>
          </w:p>
        </w:tc>
        <w:tc>
          <w:tcPr>
            <w:tcW w:w="8493" w:type="dxa"/>
            <w:vAlign w:val="center"/>
          </w:tcPr>
          <w:p w14:paraId="5A990F62" w14:textId="64273C79" w:rsidR="003553E5" w:rsidRPr="003553E5" w:rsidRDefault="003553E5" w:rsidP="003553E5">
            <w:pPr>
              <w:spacing w:after="80"/>
            </w:pPr>
            <w:r w:rsidRPr="00786FDF">
              <w:t>Sketch in general terms; indicate the main features of; Plan, collect and interpret data/information and draw conclusions about</w:t>
            </w:r>
          </w:p>
        </w:tc>
      </w:tr>
      <w:tr w:rsidR="003553E5" w14:paraId="2E54164A" w14:textId="77777777" w:rsidTr="003553E5">
        <w:tc>
          <w:tcPr>
            <w:tcW w:w="1701" w:type="dxa"/>
          </w:tcPr>
          <w:p w14:paraId="5ED69FA9" w14:textId="34023148" w:rsidR="003553E5" w:rsidRPr="001F4848" w:rsidRDefault="003553E5" w:rsidP="00D67536">
            <w:pPr>
              <w:pStyle w:val="NormalNoSpacing"/>
              <w:spacing w:before="120" w:after="120"/>
              <w:contextualSpacing w:val="0"/>
              <w:rPr>
                <w:b/>
                <w:bCs/>
              </w:rPr>
            </w:pPr>
            <w:r>
              <w:rPr>
                <w:b/>
                <w:bCs/>
              </w:rPr>
              <w:t>Explain</w:t>
            </w:r>
          </w:p>
        </w:tc>
        <w:tc>
          <w:tcPr>
            <w:tcW w:w="8493" w:type="dxa"/>
            <w:vAlign w:val="center"/>
          </w:tcPr>
          <w:p w14:paraId="6AB7F58D" w14:textId="5047E4CB" w:rsidR="003553E5" w:rsidRPr="003553E5" w:rsidRDefault="003553E5" w:rsidP="003553E5">
            <w:pPr>
              <w:spacing w:after="80"/>
              <w:rPr>
                <w:rFonts w:cstheme="minorHAnsi"/>
              </w:rPr>
            </w:pPr>
            <w:r w:rsidRPr="00F10D4D">
              <w:rPr>
                <w:rFonts w:cstheme="minorHAnsi"/>
                <w:color w:val="222222"/>
                <w:shd w:val="clear" w:color="auto" w:fill="FFFFFF"/>
              </w:rPr>
              <w:t>Relate cause and effect; make the relationships between things evident; provide why and/or how</w:t>
            </w:r>
          </w:p>
        </w:tc>
      </w:tr>
      <w:tr w:rsidR="003553E5" w14:paraId="5E434EF4" w14:textId="77777777" w:rsidTr="003553E5">
        <w:tc>
          <w:tcPr>
            <w:tcW w:w="1701" w:type="dxa"/>
          </w:tcPr>
          <w:p w14:paraId="6AE7D638" w14:textId="2F0C803E" w:rsidR="003553E5" w:rsidRPr="001F4848" w:rsidRDefault="003553E5" w:rsidP="00D67536">
            <w:pPr>
              <w:pStyle w:val="NormalNoSpacing"/>
              <w:spacing w:before="120" w:after="120"/>
              <w:contextualSpacing w:val="0"/>
              <w:rPr>
                <w:b/>
                <w:bCs/>
              </w:rPr>
            </w:pPr>
            <w:r>
              <w:rPr>
                <w:b/>
                <w:bCs/>
              </w:rPr>
              <w:t>Distinguish</w:t>
            </w:r>
          </w:p>
        </w:tc>
        <w:tc>
          <w:tcPr>
            <w:tcW w:w="8493" w:type="dxa"/>
            <w:vAlign w:val="center"/>
          </w:tcPr>
          <w:p w14:paraId="5B120B2B" w14:textId="71211CBB" w:rsidR="003553E5" w:rsidRPr="003553E5" w:rsidRDefault="003553E5" w:rsidP="003553E5">
            <w:pPr>
              <w:spacing w:after="80"/>
              <w:rPr>
                <w:rFonts w:cstheme="minorHAnsi"/>
                <w:color w:val="222222"/>
                <w:shd w:val="clear" w:color="auto" w:fill="FFFFFF"/>
              </w:rPr>
            </w:pPr>
            <w:r w:rsidRPr="00F10D4D">
              <w:rPr>
                <w:rFonts w:cstheme="minorHAnsi"/>
                <w:color w:val="222222"/>
                <w:shd w:val="clear" w:color="auto" w:fill="FFFFFF"/>
              </w:rPr>
              <w:t>Recognise or note/indicate as being distinct or different from; to note differences between</w:t>
            </w:r>
          </w:p>
        </w:tc>
      </w:tr>
      <w:tr w:rsidR="003553E5" w14:paraId="6CCEAC12" w14:textId="77777777" w:rsidTr="003553E5">
        <w:tc>
          <w:tcPr>
            <w:tcW w:w="1701" w:type="dxa"/>
          </w:tcPr>
          <w:p w14:paraId="5738DAC7" w14:textId="48C1D6B7" w:rsidR="003553E5" w:rsidRPr="001F4848" w:rsidRDefault="003553E5" w:rsidP="00D67536">
            <w:pPr>
              <w:pStyle w:val="NormalNoSpacing"/>
              <w:spacing w:before="120" w:after="120"/>
              <w:contextualSpacing w:val="0"/>
              <w:rPr>
                <w:b/>
                <w:bCs/>
              </w:rPr>
            </w:pPr>
            <w:r>
              <w:rPr>
                <w:b/>
                <w:bCs/>
              </w:rPr>
              <w:t>Analyse</w:t>
            </w:r>
          </w:p>
        </w:tc>
        <w:tc>
          <w:tcPr>
            <w:tcW w:w="8493" w:type="dxa"/>
            <w:vAlign w:val="center"/>
          </w:tcPr>
          <w:p w14:paraId="3B2DF2F6" w14:textId="1E581BBC" w:rsidR="003553E5" w:rsidRDefault="003553E5" w:rsidP="003553E5">
            <w:pPr>
              <w:spacing w:before="120"/>
            </w:pPr>
            <w:r w:rsidRPr="00F10D4D">
              <w:rPr>
                <w:shd w:val="clear" w:color="auto" w:fill="FFFFFF"/>
              </w:rPr>
              <w:t>Identify components and the relationship between them; draw out and relate implications</w:t>
            </w:r>
          </w:p>
        </w:tc>
      </w:tr>
    </w:tbl>
    <w:p w14:paraId="73660E7C" w14:textId="77777777" w:rsidR="003553E5" w:rsidRDefault="003553E5" w:rsidP="003553E5"/>
    <w:p w14:paraId="0AA60DB1" w14:textId="77777777" w:rsidR="003553E5" w:rsidRDefault="003553E5" w:rsidP="003553E5"/>
    <w:p w14:paraId="10675BEC" w14:textId="77777777" w:rsidR="006C67F9" w:rsidRDefault="006C67F9" w:rsidP="003553E5">
      <w:pPr>
        <w:pStyle w:val="Heading2"/>
      </w:pPr>
      <w:r w:rsidRPr="003553E5">
        <w:lastRenderedPageBreak/>
        <w:t>Glossary</w:t>
      </w:r>
    </w:p>
    <w:tbl>
      <w:tblPr>
        <w:tblStyle w:val="ASXTable"/>
        <w:tblW w:w="0" w:type="auto"/>
        <w:tblLook w:val="0480" w:firstRow="0" w:lastRow="0" w:firstColumn="1" w:lastColumn="0" w:noHBand="0" w:noVBand="1"/>
      </w:tblPr>
      <w:tblGrid>
        <w:gridCol w:w="1701"/>
        <w:gridCol w:w="8493"/>
      </w:tblGrid>
      <w:tr w:rsidR="003553E5" w:rsidRPr="003553E5" w14:paraId="32772F30" w14:textId="77777777" w:rsidTr="00D67536">
        <w:tc>
          <w:tcPr>
            <w:tcW w:w="1701" w:type="dxa"/>
            <w:tcBorders>
              <w:top w:val="single" w:sz="4" w:space="0" w:color="auto"/>
            </w:tcBorders>
          </w:tcPr>
          <w:p w14:paraId="184B9489" w14:textId="72816F0F" w:rsidR="003553E5" w:rsidRPr="003553E5" w:rsidRDefault="003553E5" w:rsidP="003553E5">
            <w:pPr>
              <w:pStyle w:val="NormalNoSpacing"/>
              <w:spacing w:before="120" w:after="120"/>
              <w:contextualSpacing w:val="0"/>
              <w:rPr>
                <w:b/>
                <w:bCs/>
              </w:rPr>
            </w:pPr>
            <w:r w:rsidRPr="003553E5">
              <w:rPr>
                <w:b/>
                <w:bCs/>
              </w:rPr>
              <w:t>Dividend</w:t>
            </w:r>
          </w:p>
        </w:tc>
        <w:tc>
          <w:tcPr>
            <w:tcW w:w="8493" w:type="dxa"/>
            <w:tcBorders>
              <w:top w:val="single" w:sz="4" w:space="0" w:color="auto"/>
            </w:tcBorders>
            <w:vAlign w:val="center"/>
          </w:tcPr>
          <w:p w14:paraId="268E0C36" w14:textId="222CEB3E" w:rsidR="003553E5" w:rsidRPr="003553E5" w:rsidRDefault="009A4D4E" w:rsidP="003553E5">
            <w:pPr>
              <w:pStyle w:val="NormalNoSpacing"/>
              <w:spacing w:before="120" w:after="120"/>
              <w:contextualSpacing w:val="0"/>
            </w:pPr>
            <w:r>
              <w:t>A</w:t>
            </w:r>
            <w:r w:rsidR="003553E5" w:rsidRPr="003553E5">
              <w:t xml:space="preserve"> sum of money paid by a company from its profits to its shareholders.</w:t>
            </w:r>
          </w:p>
        </w:tc>
      </w:tr>
      <w:tr w:rsidR="003553E5" w:rsidRPr="003553E5" w14:paraId="260594F8" w14:textId="77777777" w:rsidTr="00D67536">
        <w:tc>
          <w:tcPr>
            <w:tcW w:w="1701" w:type="dxa"/>
          </w:tcPr>
          <w:p w14:paraId="215A076D" w14:textId="5A57BCD6" w:rsidR="003553E5" w:rsidRPr="003553E5" w:rsidRDefault="003553E5" w:rsidP="003553E5">
            <w:pPr>
              <w:pStyle w:val="NormalNoSpacing"/>
              <w:spacing w:before="120" w:after="120"/>
              <w:contextualSpacing w:val="0"/>
              <w:rPr>
                <w:b/>
                <w:bCs/>
              </w:rPr>
            </w:pPr>
            <w:r w:rsidRPr="003553E5">
              <w:rPr>
                <w:b/>
                <w:bCs/>
              </w:rPr>
              <w:t>Capital Growth</w:t>
            </w:r>
          </w:p>
        </w:tc>
        <w:tc>
          <w:tcPr>
            <w:tcW w:w="8493" w:type="dxa"/>
            <w:vAlign w:val="center"/>
          </w:tcPr>
          <w:p w14:paraId="15DBA2E9" w14:textId="0DDFC85E" w:rsidR="003553E5" w:rsidRPr="003553E5" w:rsidRDefault="009A4D4E" w:rsidP="003553E5">
            <w:pPr>
              <w:pStyle w:val="NormalNoSpacing"/>
              <w:spacing w:before="120" w:after="120"/>
              <w:contextualSpacing w:val="0"/>
            </w:pPr>
            <w:r>
              <w:t>A</w:t>
            </w:r>
            <w:r w:rsidR="003553E5" w:rsidRPr="003553E5">
              <w:t>n increase in the value of funds invested over time.</w:t>
            </w:r>
          </w:p>
        </w:tc>
      </w:tr>
      <w:tr w:rsidR="003553E5" w:rsidRPr="003553E5" w14:paraId="45726A45" w14:textId="77777777" w:rsidTr="00D67536">
        <w:tc>
          <w:tcPr>
            <w:tcW w:w="1701" w:type="dxa"/>
          </w:tcPr>
          <w:p w14:paraId="3F30BD25" w14:textId="470B51CE" w:rsidR="003553E5" w:rsidRPr="003553E5" w:rsidRDefault="003553E5" w:rsidP="003553E5">
            <w:pPr>
              <w:pStyle w:val="NormalNoSpacing"/>
              <w:spacing w:before="120" w:after="120"/>
              <w:contextualSpacing w:val="0"/>
              <w:rPr>
                <w:b/>
                <w:bCs/>
              </w:rPr>
            </w:pPr>
            <w:r w:rsidRPr="003553E5">
              <w:rPr>
                <w:b/>
                <w:bCs/>
              </w:rPr>
              <w:t>ROI</w:t>
            </w:r>
          </w:p>
        </w:tc>
        <w:tc>
          <w:tcPr>
            <w:tcW w:w="8493" w:type="dxa"/>
            <w:vAlign w:val="center"/>
          </w:tcPr>
          <w:p w14:paraId="4BD5001E" w14:textId="4239EB7A" w:rsidR="003553E5" w:rsidRPr="003553E5" w:rsidRDefault="009A4D4E" w:rsidP="003553E5">
            <w:pPr>
              <w:pStyle w:val="NormalNoSpacing"/>
              <w:spacing w:before="120" w:after="120"/>
              <w:contextualSpacing w:val="0"/>
            </w:pPr>
            <w:r>
              <w:t>R</w:t>
            </w:r>
            <w:r w:rsidR="003553E5" w:rsidRPr="003553E5">
              <w:t>eturn on investment.</w:t>
            </w:r>
          </w:p>
        </w:tc>
      </w:tr>
      <w:tr w:rsidR="003553E5" w:rsidRPr="003553E5" w14:paraId="0A44EEBE" w14:textId="77777777" w:rsidTr="00D67536">
        <w:tc>
          <w:tcPr>
            <w:tcW w:w="1701" w:type="dxa"/>
          </w:tcPr>
          <w:p w14:paraId="5163BE12" w14:textId="6E92325E" w:rsidR="003553E5" w:rsidRPr="003553E5" w:rsidRDefault="003553E5" w:rsidP="003553E5">
            <w:pPr>
              <w:pStyle w:val="NormalNoSpacing"/>
              <w:spacing w:before="120" w:after="120"/>
              <w:contextualSpacing w:val="0"/>
              <w:rPr>
                <w:b/>
                <w:bCs/>
              </w:rPr>
            </w:pPr>
            <w:r w:rsidRPr="003553E5">
              <w:rPr>
                <w:b/>
                <w:bCs/>
              </w:rPr>
              <w:t>Cth</w:t>
            </w:r>
          </w:p>
        </w:tc>
        <w:tc>
          <w:tcPr>
            <w:tcW w:w="8493" w:type="dxa"/>
            <w:vAlign w:val="center"/>
          </w:tcPr>
          <w:p w14:paraId="7A7F8CAE" w14:textId="3BEA00A9" w:rsidR="003553E5" w:rsidRPr="003553E5" w:rsidRDefault="003553E5" w:rsidP="003553E5">
            <w:pPr>
              <w:pStyle w:val="NormalNoSpacing"/>
              <w:spacing w:before="120" w:after="120"/>
              <w:contextualSpacing w:val="0"/>
            </w:pPr>
            <w:r w:rsidRPr="003553E5">
              <w:t>Corporations Act 2001</w:t>
            </w:r>
          </w:p>
        </w:tc>
      </w:tr>
      <w:tr w:rsidR="003553E5" w:rsidRPr="003553E5" w14:paraId="6FCCBAA0" w14:textId="77777777" w:rsidTr="00D67536">
        <w:tc>
          <w:tcPr>
            <w:tcW w:w="1701" w:type="dxa"/>
          </w:tcPr>
          <w:p w14:paraId="1187A87F" w14:textId="3151C98A" w:rsidR="003553E5" w:rsidRPr="003553E5" w:rsidRDefault="003553E5" w:rsidP="003553E5">
            <w:pPr>
              <w:pStyle w:val="NormalNoSpacing"/>
              <w:spacing w:before="120" w:after="120"/>
              <w:contextualSpacing w:val="0"/>
              <w:rPr>
                <w:b/>
                <w:bCs/>
              </w:rPr>
            </w:pPr>
            <w:r w:rsidRPr="003553E5">
              <w:rPr>
                <w:b/>
                <w:bCs/>
              </w:rPr>
              <w:t>ASIC</w:t>
            </w:r>
          </w:p>
        </w:tc>
        <w:tc>
          <w:tcPr>
            <w:tcW w:w="8493" w:type="dxa"/>
            <w:vAlign w:val="center"/>
          </w:tcPr>
          <w:p w14:paraId="1C57CFD4" w14:textId="21EBB46D" w:rsidR="003553E5" w:rsidRPr="003553E5" w:rsidRDefault="003553E5" w:rsidP="003553E5">
            <w:pPr>
              <w:pStyle w:val="NormalNoSpacing"/>
              <w:spacing w:before="120" w:after="120"/>
              <w:contextualSpacing w:val="0"/>
            </w:pPr>
            <w:r w:rsidRPr="003553E5">
              <w:t xml:space="preserve">Australian Securities and Investment Commission </w:t>
            </w:r>
          </w:p>
        </w:tc>
      </w:tr>
      <w:tr w:rsidR="003553E5" w:rsidRPr="003553E5" w14:paraId="525D1E06" w14:textId="77777777" w:rsidTr="00D67536">
        <w:tc>
          <w:tcPr>
            <w:tcW w:w="1701" w:type="dxa"/>
          </w:tcPr>
          <w:p w14:paraId="4E7E498C" w14:textId="2C6097CD" w:rsidR="003553E5" w:rsidRPr="003553E5" w:rsidRDefault="003553E5" w:rsidP="003553E5">
            <w:pPr>
              <w:pStyle w:val="NormalNoSpacing"/>
              <w:spacing w:before="120" w:after="120"/>
              <w:contextualSpacing w:val="0"/>
              <w:rPr>
                <w:b/>
                <w:bCs/>
              </w:rPr>
            </w:pPr>
            <w:r w:rsidRPr="003553E5">
              <w:rPr>
                <w:b/>
                <w:bCs/>
              </w:rPr>
              <w:t>Prospectus</w:t>
            </w:r>
          </w:p>
        </w:tc>
        <w:tc>
          <w:tcPr>
            <w:tcW w:w="8493" w:type="dxa"/>
            <w:vAlign w:val="center"/>
          </w:tcPr>
          <w:p w14:paraId="5DD869BB" w14:textId="2AF6B89D" w:rsidR="003553E5" w:rsidRPr="003553E5" w:rsidRDefault="009A4D4E" w:rsidP="003553E5">
            <w:pPr>
              <w:pStyle w:val="NormalNoSpacing"/>
              <w:spacing w:before="120" w:after="120"/>
              <w:contextualSpacing w:val="0"/>
            </w:pPr>
            <w:r>
              <w:t>D</w:t>
            </w:r>
            <w:r w:rsidR="003553E5" w:rsidRPr="003553E5">
              <w:t>ocument that describes the activities (including financials) of a business to prospective investors.</w:t>
            </w:r>
          </w:p>
        </w:tc>
      </w:tr>
      <w:tr w:rsidR="003553E5" w:rsidRPr="003553E5" w14:paraId="458E4AF7" w14:textId="77777777" w:rsidTr="00D67536">
        <w:tc>
          <w:tcPr>
            <w:tcW w:w="1701" w:type="dxa"/>
          </w:tcPr>
          <w:p w14:paraId="6A7A5D31" w14:textId="28BC9326" w:rsidR="003553E5" w:rsidRPr="003553E5" w:rsidRDefault="003553E5" w:rsidP="003553E5">
            <w:pPr>
              <w:pStyle w:val="NormalNoSpacing"/>
              <w:spacing w:before="120" w:after="120"/>
              <w:contextualSpacing w:val="0"/>
              <w:rPr>
                <w:b/>
                <w:bCs/>
              </w:rPr>
            </w:pPr>
            <w:r w:rsidRPr="003553E5">
              <w:rPr>
                <w:b/>
                <w:bCs/>
              </w:rPr>
              <w:t>Regulated</w:t>
            </w:r>
          </w:p>
        </w:tc>
        <w:tc>
          <w:tcPr>
            <w:tcW w:w="8493" w:type="dxa"/>
            <w:vAlign w:val="center"/>
          </w:tcPr>
          <w:p w14:paraId="735601C1" w14:textId="0279917F" w:rsidR="003553E5" w:rsidRPr="003553E5" w:rsidRDefault="009A4D4E" w:rsidP="003553E5">
            <w:pPr>
              <w:pStyle w:val="NormalNoSpacing"/>
              <w:spacing w:before="120" w:after="120"/>
              <w:contextualSpacing w:val="0"/>
            </w:pPr>
            <w:r>
              <w:t>T</w:t>
            </w:r>
            <w:r w:rsidR="003553E5" w:rsidRPr="003553E5">
              <w:t>o control the activities of businesses by means of rules and regulations.</w:t>
            </w:r>
          </w:p>
        </w:tc>
      </w:tr>
      <w:tr w:rsidR="003553E5" w:rsidRPr="003553E5" w14:paraId="6C2CB617" w14:textId="77777777" w:rsidTr="00D67536">
        <w:tc>
          <w:tcPr>
            <w:tcW w:w="1701" w:type="dxa"/>
          </w:tcPr>
          <w:p w14:paraId="1A77350C" w14:textId="3E587E6A" w:rsidR="003553E5" w:rsidRPr="003553E5" w:rsidRDefault="003553E5" w:rsidP="003553E5">
            <w:pPr>
              <w:pStyle w:val="NormalNoSpacing"/>
              <w:spacing w:before="120" w:after="120"/>
              <w:contextualSpacing w:val="0"/>
              <w:rPr>
                <w:b/>
                <w:bCs/>
              </w:rPr>
            </w:pPr>
            <w:r w:rsidRPr="003553E5">
              <w:rPr>
                <w:b/>
                <w:bCs/>
              </w:rPr>
              <w:t>Investors</w:t>
            </w:r>
          </w:p>
        </w:tc>
        <w:tc>
          <w:tcPr>
            <w:tcW w:w="8493" w:type="dxa"/>
            <w:vAlign w:val="center"/>
          </w:tcPr>
          <w:p w14:paraId="6A3AC88D" w14:textId="0D26729E" w:rsidR="003553E5" w:rsidRPr="003553E5" w:rsidRDefault="009A4D4E" w:rsidP="003553E5">
            <w:pPr>
              <w:pStyle w:val="NormalNoSpacing"/>
              <w:spacing w:before="120" w:after="120"/>
              <w:contextualSpacing w:val="0"/>
            </w:pPr>
            <w:r>
              <w:t>A</w:t>
            </w:r>
            <w:r w:rsidR="003553E5" w:rsidRPr="003553E5">
              <w:t xml:space="preserve"> person or business that puts money into the purchase of company shares with the expectation of financial return.</w:t>
            </w:r>
          </w:p>
        </w:tc>
      </w:tr>
      <w:tr w:rsidR="003553E5" w:rsidRPr="003553E5" w14:paraId="385B81FB" w14:textId="77777777" w:rsidTr="00D67536">
        <w:tc>
          <w:tcPr>
            <w:tcW w:w="1701" w:type="dxa"/>
          </w:tcPr>
          <w:p w14:paraId="27D1A10B" w14:textId="299653A6" w:rsidR="003553E5" w:rsidRPr="003553E5" w:rsidRDefault="003553E5" w:rsidP="003553E5">
            <w:pPr>
              <w:pStyle w:val="NormalNoSpacing"/>
              <w:spacing w:before="120" w:after="120"/>
              <w:contextualSpacing w:val="0"/>
              <w:rPr>
                <w:b/>
                <w:bCs/>
              </w:rPr>
            </w:pPr>
            <w:r w:rsidRPr="003553E5">
              <w:rPr>
                <w:b/>
                <w:bCs/>
              </w:rPr>
              <w:t>Float</w:t>
            </w:r>
          </w:p>
        </w:tc>
        <w:tc>
          <w:tcPr>
            <w:tcW w:w="8493" w:type="dxa"/>
            <w:vAlign w:val="center"/>
          </w:tcPr>
          <w:p w14:paraId="301BDF8A" w14:textId="23484E73" w:rsidR="003553E5" w:rsidRPr="003553E5" w:rsidRDefault="009A4D4E" w:rsidP="003553E5">
            <w:pPr>
              <w:pStyle w:val="NormalNoSpacing"/>
              <w:spacing w:before="120" w:after="120"/>
              <w:contextualSpacing w:val="0"/>
            </w:pPr>
            <w:r>
              <w:t>T</w:t>
            </w:r>
            <w:r w:rsidR="003553E5" w:rsidRPr="003553E5">
              <w:t>he initial time a company issues shares in the Sharemarket.</w:t>
            </w:r>
          </w:p>
        </w:tc>
      </w:tr>
      <w:tr w:rsidR="003553E5" w:rsidRPr="003553E5" w14:paraId="2E97538E" w14:textId="77777777" w:rsidTr="00D67536">
        <w:tc>
          <w:tcPr>
            <w:tcW w:w="1701" w:type="dxa"/>
          </w:tcPr>
          <w:p w14:paraId="28E4A25D" w14:textId="28171A4A" w:rsidR="003553E5" w:rsidRPr="003553E5" w:rsidRDefault="003553E5" w:rsidP="003553E5">
            <w:pPr>
              <w:pStyle w:val="NormalNoSpacing"/>
              <w:spacing w:before="120" w:after="120"/>
              <w:contextualSpacing w:val="0"/>
              <w:rPr>
                <w:b/>
                <w:bCs/>
              </w:rPr>
            </w:pPr>
            <w:r w:rsidRPr="003553E5">
              <w:rPr>
                <w:b/>
                <w:bCs/>
              </w:rPr>
              <w:t>Unlimited Liability</w:t>
            </w:r>
          </w:p>
        </w:tc>
        <w:tc>
          <w:tcPr>
            <w:tcW w:w="8493" w:type="dxa"/>
            <w:vAlign w:val="center"/>
          </w:tcPr>
          <w:p w14:paraId="66358760" w14:textId="30FEDB6E" w:rsidR="003553E5" w:rsidRPr="003553E5" w:rsidRDefault="009A4D4E" w:rsidP="003553E5">
            <w:pPr>
              <w:pStyle w:val="NormalNoSpacing"/>
              <w:spacing w:before="120" w:after="120"/>
              <w:contextualSpacing w:val="0"/>
            </w:pPr>
            <w:r>
              <w:t>W</w:t>
            </w:r>
            <w:r w:rsidR="003553E5" w:rsidRPr="003553E5">
              <w:t>hen the owner of a business holds all legal responsibility for the financial performance of the business, particularly when the business has financial difficulties.</w:t>
            </w:r>
          </w:p>
        </w:tc>
      </w:tr>
      <w:tr w:rsidR="003553E5" w:rsidRPr="003553E5" w14:paraId="13251437" w14:textId="77777777" w:rsidTr="00D67536">
        <w:tc>
          <w:tcPr>
            <w:tcW w:w="1701" w:type="dxa"/>
          </w:tcPr>
          <w:p w14:paraId="742B05C9" w14:textId="02D2324D" w:rsidR="003553E5" w:rsidRPr="003553E5" w:rsidRDefault="003553E5" w:rsidP="003553E5">
            <w:pPr>
              <w:pStyle w:val="NormalNoSpacing"/>
              <w:spacing w:before="120" w:after="120"/>
              <w:contextualSpacing w:val="0"/>
              <w:rPr>
                <w:b/>
                <w:bCs/>
              </w:rPr>
            </w:pPr>
            <w:r w:rsidRPr="003553E5">
              <w:rPr>
                <w:b/>
                <w:bCs/>
              </w:rPr>
              <w:t>Broker</w:t>
            </w:r>
          </w:p>
        </w:tc>
        <w:tc>
          <w:tcPr>
            <w:tcW w:w="8493" w:type="dxa"/>
            <w:vAlign w:val="center"/>
          </w:tcPr>
          <w:p w14:paraId="3189EBBA" w14:textId="509FA7A8" w:rsidR="003553E5" w:rsidRPr="003553E5" w:rsidRDefault="009A4D4E" w:rsidP="003553E5">
            <w:pPr>
              <w:pStyle w:val="NormalNoSpacing"/>
              <w:spacing w:before="120" w:after="120"/>
              <w:contextualSpacing w:val="0"/>
            </w:pPr>
            <w:r>
              <w:t>A</w:t>
            </w:r>
            <w:r w:rsidR="003553E5" w:rsidRPr="003553E5">
              <w:t>n organization or person used by a shareholder to manage the process of</w:t>
            </w:r>
          </w:p>
        </w:tc>
      </w:tr>
    </w:tbl>
    <w:p w14:paraId="5ECBBB37" w14:textId="77777777" w:rsidR="003553E5" w:rsidRPr="003553E5" w:rsidRDefault="003553E5" w:rsidP="006C67F9">
      <w:pPr>
        <w:adjustRightInd/>
        <w:snapToGrid/>
        <w:spacing w:after="0" w:line="240" w:lineRule="auto"/>
      </w:pPr>
    </w:p>
    <w:p w14:paraId="7121A27D" w14:textId="77777777" w:rsidR="003553E5" w:rsidRPr="003553E5" w:rsidRDefault="003553E5" w:rsidP="006C67F9">
      <w:pPr>
        <w:adjustRightInd/>
        <w:snapToGrid/>
        <w:spacing w:after="0" w:line="240" w:lineRule="auto"/>
      </w:pPr>
    </w:p>
    <w:sectPr w:rsidR="003553E5" w:rsidRPr="003553E5" w:rsidSect="00283AF9">
      <w:headerReference w:type="default" r:id="rId15"/>
      <w:footerReference w:type="default" r:id="rId16"/>
      <w:headerReference w:type="first" r:id="rId17"/>
      <w:footerReference w:type="first" r:id="rId18"/>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2397"/>
    </w:tblGrid>
    <w:tr w:rsidR="00970524" w:rsidRPr="00BB56AD" w14:paraId="208ABFB0" w14:textId="77777777" w:rsidTr="009F3133">
      <w:tc>
        <w:tcPr>
          <w:tcW w:w="7797" w:type="dxa"/>
        </w:tcPr>
        <w:p w14:paraId="605DEA1F" w14:textId="5B7C6CF2" w:rsidR="00970524" w:rsidRPr="00283AF9" w:rsidRDefault="00B16C9A" w:rsidP="00970524">
          <w:pPr>
            <w:pStyle w:val="NormalNoSpacing"/>
            <w:rPr>
              <w:rFonts w:cstheme="minorHAnsi"/>
            </w:rPr>
          </w:pPr>
          <w:r>
            <w:rPr>
              <w:rFonts w:cstheme="minorHAnsi"/>
              <w:b/>
              <w:bCs/>
            </w:rPr>
            <w:t>School</w:t>
          </w:r>
          <w:r w:rsidR="009A4D4E">
            <w:rPr>
              <w:rFonts w:cstheme="minorHAnsi"/>
              <w:b/>
              <w:bCs/>
            </w:rPr>
            <w:t>s</w:t>
          </w:r>
          <w:r>
            <w:rPr>
              <w:rFonts w:cstheme="minorHAnsi"/>
              <w:b/>
              <w:bCs/>
            </w:rPr>
            <w:t xml:space="preserve"> </w:t>
          </w:r>
          <w:r w:rsidR="004902FD" w:rsidRPr="004902FD">
            <w:rPr>
              <w:rFonts w:cstheme="minorHAnsi"/>
              <w:b/>
              <w:bCs/>
            </w:rPr>
            <w:t>Sharemarket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082F3A">
                <w:rPr>
                  <w:rFonts w:cstheme="minorHAnsi"/>
                </w:rPr>
                <w:t>How the Sharemarket works: The Primary and Secondary Markets</w:t>
              </w:r>
            </w:sdtContent>
          </w:sdt>
        </w:p>
      </w:tc>
      <w:tc>
        <w:tcPr>
          <w:tcW w:w="23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45A7E099">
              <wp:simplePos x="0" y="0"/>
              <wp:positionH relativeFrom="page">
                <wp:posOffset>-19050</wp:posOffset>
              </wp:positionH>
              <wp:positionV relativeFrom="paragraph">
                <wp:posOffset>-252095</wp:posOffset>
              </wp:positionV>
              <wp:extent cx="7632000" cy="28575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8575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0D8B6" id="Rectangle 2" o:spid="_x0000_s1026" alt="&quot;&quot;" style="position:absolute;margin-left:-1.5pt;margin-top:-19.85pt;width:600.95pt;height: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488C3063" w:rsidR="00C24BA9" w:rsidRPr="00BB56AD" w:rsidRDefault="00082F3A"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9A4D4E">
                <w:rPr>
                  <w:color w:val="FFFFFF" w:themeColor="background1"/>
                </w:rPr>
                <w:t>s</w:t>
              </w:r>
              <w:r w:rsidR="00B16C9A">
                <w:rPr>
                  <w:color w:val="FFFFFF" w:themeColor="background1"/>
                </w:rPr>
                <w:t xml:space="preserve"> </w:t>
              </w:r>
              <w:r w:rsidR="005C65A2">
                <w:rPr>
                  <w:color w:val="FFFFFF" w:themeColor="background1"/>
                </w:rPr>
                <w:t>Sharemarket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D448BE"/>
    <w:multiLevelType w:val="multilevel"/>
    <w:tmpl w:val="C00ADBA2"/>
    <w:lvl w:ilvl="0">
      <w:start w:val="1"/>
      <w:numFmt w:val="bullet"/>
      <w:pStyle w:val="TableBullet"/>
      <w:lvlText w:val=""/>
      <w:lvlJc w:val="left"/>
      <w:pPr>
        <w:ind w:left="170" w:hanging="170"/>
      </w:pPr>
      <w:rPr>
        <w:rFonts w:ascii="Symbol" w:hAnsi="Symbol" w:hint="default"/>
        <w:color w:val="2D6DF8" w:themeColor="accent2"/>
        <w:sz w:val="17"/>
      </w:rPr>
    </w:lvl>
    <w:lvl w:ilvl="1">
      <w:start w:val="1"/>
      <w:numFmt w:val="bullet"/>
      <w:lvlRestart w:val="0"/>
      <w:lvlText w:val="‒"/>
      <w:lvlJc w:val="left"/>
      <w:pPr>
        <w:ind w:left="340" w:firstLine="0"/>
      </w:pPr>
      <w:rPr>
        <w:rFonts w:ascii="Arial" w:hAnsi="Arial" w:hint="default"/>
        <w:color w:val="2D6DF8" w:themeColor="accent2"/>
      </w:rPr>
    </w:lvl>
    <w:lvl w:ilvl="2">
      <w:start w:val="1"/>
      <w:numFmt w:val="bullet"/>
      <w:lvlRestart w:val="0"/>
      <w:lvlText w:val="‒"/>
      <w:lvlJc w:val="left"/>
      <w:pPr>
        <w:ind w:left="340" w:firstLine="340"/>
      </w:pPr>
      <w:rPr>
        <w:rFonts w:ascii="Arial" w:hAnsi="Aria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5" w15:restartNumberingAfterBreak="0">
    <w:nsid w:val="06FC2D2F"/>
    <w:multiLevelType w:val="multilevel"/>
    <w:tmpl w:val="052CA8CE"/>
    <w:numStyleLink w:val="ASXBulletList"/>
  </w:abstractNum>
  <w:abstractNum w:abstractNumId="6" w15:restartNumberingAfterBreak="0">
    <w:nsid w:val="0E3535E8"/>
    <w:multiLevelType w:val="multilevel"/>
    <w:tmpl w:val="0E8A2502"/>
    <w:numStyleLink w:val="Normalwitharrow"/>
  </w:abstractNum>
  <w:abstractNum w:abstractNumId="7"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9" w15:restartNumberingAfterBreak="0">
    <w:nsid w:val="12643A87"/>
    <w:multiLevelType w:val="multilevel"/>
    <w:tmpl w:val="B47A5CEE"/>
    <w:numStyleLink w:val="ASXAttachmentListStyle"/>
  </w:abstractNum>
  <w:abstractNum w:abstractNumId="10" w15:restartNumberingAfterBreak="0">
    <w:nsid w:val="19947C05"/>
    <w:multiLevelType w:val="multilevel"/>
    <w:tmpl w:val="7AC449B6"/>
    <w:numStyleLink w:val="ASXParagraphNumbering"/>
  </w:abstractNum>
  <w:abstractNum w:abstractNumId="11" w15:restartNumberingAfterBreak="0">
    <w:nsid w:val="1BCE5C2F"/>
    <w:multiLevelType w:val="multilevel"/>
    <w:tmpl w:val="DE502248"/>
    <w:numStyleLink w:val="ASXTableList"/>
  </w:abstractNum>
  <w:abstractNum w:abstractNumId="12"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6" w15:restartNumberingAfterBreak="0">
    <w:nsid w:val="2DE90D4A"/>
    <w:multiLevelType w:val="multilevel"/>
    <w:tmpl w:val="6164AC76"/>
    <w:numStyleLink w:val="ASXNumberedHeadings"/>
  </w:abstractNum>
  <w:abstractNum w:abstractNumId="17"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8"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C4785C"/>
    <w:multiLevelType w:val="multilevel"/>
    <w:tmpl w:val="DE502248"/>
    <w:numStyleLink w:val="ASXTableList"/>
  </w:abstractNum>
  <w:abstractNum w:abstractNumId="20"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6D4D02E1"/>
    <w:multiLevelType w:val="multilevel"/>
    <w:tmpl w:val="7AC449B6"/>
    <w:numStyleLink w:val="ASXParagraphNumbering"/>
  </w:abstractNum>
  <w:abstractNum w:abstractNumId="23"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4"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8"/>
  </w:num>
  <w:num w:numId="2" w16cid:durableId="1373726361">
    <w:abstractNumId w:val="17"/>
  </w:num>
  <w:num w:numId="3" w16cid:durableId="1681278824">
    <w:abstractNumId w:val="13"/>
  </w:num>
  <w:num w:numId="4" w16cid:durableId="1106997184">
    <w:abstractNumId w:val="21"/>
  </w:num>
  <w:num w:numId="5" w16cid:durableId="826937106">
    <w:abstractNumId w:val="2"/>
  </w:num>
  <w:num w:numId="6" w16cid:durableId="399180240">
    <w:abstractNumId w:val="12"/>
  </w:num>
  <w:num w:numId="7" w16cid:durableId="1327318825">
    <w:abstractNumId w:val="16"/>
  </w:num>
  <w:num w:numId="8" w16cid:durableId="1026441482">
    <w:abstractNumId w:val="24"/>
  </w:num>
  <w:num w:numId="9" w16cid:durableId="1703019663">
    <w:abstractNumId w:val="10"/>
  </w:num>
  <w:num w:numId="10" w16cid:durableId="1811895211">
    <w:abstractNumId w:val="9"/>
  </w:num>
  <w:num w:numId="11" w16cid:durableId="303505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5"/>
  </w:num>
  <w:num w:numId="13" w16cid:durableId="433135935">
    <w:abstractNumId w:val="19"/>
  </w:num>
  <w:num w:numId="14" w16cid:durableId="898439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20"/>
  </w:num>
  <w:num w:numId="17" w16cid:durableId="1419666911">
    <w:abstractNumId w:val="7"/>
  </w:num>
  <w:num w:numId="18" w16cid:durableId="1374235183">
    <w:abstractNumId w:val="6"/>
  </w:num>
  <w:num w:numId="19" w16cid:durableId="1296718823">
    <w:abstractNumId w:val="3"/>
  </w:num>
  <w:num w:numId="20" w16cid:durableId="39869941">
    <w:abstractNumId w:val="18"/>
  </w:num>
  <w:num w:numId="21" w16cid:durableId="1944266962">
    <w:abstractNumId w:val="14"/>
  </w:num>
  <w:num w:numId="22" w16cid:durableId="332494833">
    <w:abstractNumId w:val="1"/>
  </w:num>
  <w:num w:numId="23" w16cid:durableId="364722837">
    <w:abstractNumId w:val="0"/>
  </w:num>
  <w:num w:numId="24" w16cid:durableId="1667367294">
    <w:abstractNumId w:val="22"/>
  </w:num>
  <w:num w:numId="25" w16cid:durableId="1545872029">
    <w:abstractNumId w:val="11"/>
  </w:num>
  <w:num w:numId="26" w16cid:durableId="703484189">
    <w:abstractNumId w:val="5"/>
  </w:num>
  <w:num w:numId="27" w16cid:durableId="1882592448">
    <w:abstractNumId w:val="23"/>
  </w:num>
  <w:num w:numId="28" w16cid:durableId="97255729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2F3A"/>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D694F"/>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53E5"/>
    <w:rsid w:val="00356A93"/>
    <w:rsid w:val="0036292E"/>
    <w:rsid w:val="003633C2"/>
    <w:rsid w:val="00363B4D"/>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67F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89B"/>
    <w:rsid w:val="00933ABE"/>
    <w:rsid w:val="00934BAD"/>
    <w:rsid w:val="00935A68"/>
    <w:rsid w:val="009418EC"/>
    <w:rsid w:val="00941A0F"/>
    <w:rsid w:val="00942DA4"/>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D4E"/>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133"/>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594E"/>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17D9"/>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391F"/>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sz w:val="28"/>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6C67F9"/>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34"/>
    <w:qFormat/>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PulloutQuote">
    <w:name w:val="Pullout Quote"/>
    <w:basedOn w:val="Normal"/>
    <w:next w:val="Normal"/>
    <w:qFormat/>
    <w:rsid w:val="00363B4D"/>
    <w:pPr>
      <w:spacing w:before="120" w:line="240" w:lineRule="auto"/>
      <w:jc w:val="center"/>
    </w:pPr>
    <w:rPr>
      <w:i/>
      <w:color w:val="2D6DF8" w:themeColor="accent2"/>
      <w:spacing w:val="0"/>
      <w:sz w:val="32"/>
      <w:szCs w:val="24"/>
    </w:rPr>
  </w:style>
  <w:style w:type="paragraph" w:customStyle="1" w:styleId="TimelineText">
    <w:name w:val="Timeline Text"/>
    <w:basedOn w:val="Normal"/>
    <w:qFormat/>
    <w:rsid w:val="00363B4D"/>
    <w:pPr>
      <w:spacing w:after="0" w:line="240" w:lineRule="atLeast"/>
      <w:jc w:val="center"/>
    </w:pPr>
    <w:rPr>
      <w:rFonts w:cs="Calibri"/>
      <w:color w:val="001E6E" w:themeColor="accent1"/>
      <w:spacing w:val="0"/>
      <w:sz w:val="20"/>
      <w:szCs w:val="24"/>
    </w:rPr>
  </w:style>
  <w:style w:type="character" w:customStyle="1" w:styleId="Subheading">
    <w:name w:val="Subheading"/>
    <w:basedOn w:val="DefaultParagraphFont"/>
    <w:uiPriority w:val="1"/>
    <w:qFormat/>
    <w:rsid w:val="006C67F9"/>
    <w:rPr>
      <w:rFonts w:asciiTheme="minorHAnsi" w:hAnsiTheme="minorHAnsi"/>
      <w:color w:val="001E6E" w:themeColor="accent1"/>
      <w:sz w:val="22"/>
    </w:rPr>
  </w:style>
  <w:style w:type="paragraph" w:customStyle="1" w:styleId="NumberedHeading5">
    <w:name w:val="Numbered Heading 5"/>
    <w:basedOn w:val="Heading5"/>
    <w:next w:val="Normal"/>
    <w:qFormat/>
    <w:rsid w:val="006C67F9"/>
    <w:pPr>
      <w:adjustRightInd/>
      <w:snapToGrid/>
      <w:spacing w:before="0" w:after="140" w:line="240" w:lineRule="auto"/>
      <w:ind w:left="794" w:hanging="794"/>
    </w:pPr>
    <w:rPr>
      <w:rFonts w:asciiTheme="majorHAnsi" w:hAnsiTheme="majorHAnsi" w:cs="Times New Roman"/>
      <w:i w:val="0"/>
      <w:color w:val="A7A9AC"/>
      <w:sz w:val="20"/>
    </w:rPr>
  </w:style>
  <w:style w:type="paragraph" w:customStyle="1" w:styleId="TableBullet">
    <w:name w:val="Table Bullet"/>
    <w:basedOn w:val="ListBullet"/>
    <w:qFormat/>
    <w:rsid w:val="006C67F9"/>
    <w:pPr>
      <w:numPr>
        <w:numId w:val="28"/>
      </w:numPr>
      <w:adjustRightInd/>
      <w:snapToGrid/>
      <w:spacing w:before="60" w:after="60" w:line="200" w:lineRule="exact"/>
      <w:contextualSpacing/>
    </w:pPr>
  </w:style>
  <w:style w:type="paragraph" w:customStyle="1" w:styleId="StyleTableText9pt">
    <w:name w:val="Style Table Text + 9 pt"/>
    <w:basedOn w:val="TableText"/>
    <w:autoRedefine/>
    <w:rsid w:val="006C67F9"/>
    <w:pPr>
      <w:spacing w:before="60" w:after="60" w:line="200" w:lineRule="exact"/>
    </w:pPr>
    <w:rPr>
      <w:b/>
      <w:bCs/>
      <w:color w:val="2D6DF8"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sx.com.au/listings/how-to-list/listing-requiremen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x.com.au/markets/trade-our-cash-market/todays-announce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D694F"/>
    <w:rsid w:val="001E2280"/>
    <w:rsid w:val="008610EC"/>
    <w:rsid w:val="0093389B"/>
    <w:rsid w:val="00DE4669"/>
    <w:rsid w:val="00F739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How the Sharemarket works: The Primary and Secondary Markets</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3</cp:revision>
  <cp:lastPrinted>2024-04-29T05:20:00Z</cp:lastPrinted>
  <dcterms:created xsi:type="dcterms:W3CDTF">2025-07-09T08:34:00Z</dcterms:created>
  <dcterms:modified xsi:type="dcterms:W3CDTF">2025-07-10T00:55:00Z</dcterms:modified>
  <cp:category/>
</cp:coreProperties>
</file>