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93F" w14:textId="77777777" w:rsidR="00FD550C" w:rsidRDefault="00FD550C"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p>
    <w:p w14:paraId="725ED218" w14:textId="558EA797" w:rsidR="001F4848" w:rsidRPr="00FD550C" w:rsidRDefault="001F4848"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r w:rsidRPr="00FD550C">
        <w:rPr>
          <w:rFonts w:asciiTheme="majorHAnsi" w:eastAsiaTheme="majorEastAsia" w:hAnsiTheme="majorHAnsi" w:cstheme="majorBidi"/>
          <w:b/>
          <w:caps/>
          <w:color w:val="001E6E" w:themeColor="accent1"/>
          <w:spacing w:val="-18"/>
          <w:sz w:val="32"/>
          <w:szCs w:val="32"/>
          <w14:ligatures w14:val="standardContextual"/>
        </w:rPr>
        <w:t xml:space="preserve">Lesson </w:t>
      </w:r>
      <w:r w:rsidR="00B803BB">
        <w:rPr>
          <w:rFonts w:asciiTheme="majorHAnsi" w:eastAsiaTheme="majorEastAsia" w:hAnsiTheme="majorHAnsi" w:cstheme="majorBidi"/>
          <w:b/>
          <w:caps/>
          <w:color w:val="001E6E" w:themeColor="accent1"/>
          <w:spacing w:val="-18"/>
          <w:sz w:val="32"/>
          <w:szCs w:val="32"/>
          <w14:ligatures w14:val="standardContextual"/>
        </w:rPr>
        <w:t>4</w:t>
      </w:r>
    </w:p>
    <w:sdt>
      <w:sdtPr>
        <w:rPr>
          <w:rFonts w:asciiTheme="majorHAnsi" w:eastAsiaTheme="majorEastAsia" w:hAnsiTheme="majorHAnsi" w:cstheme="majorBidi"/>
          <w:b/>
          <w:color w:val="FFFFFF" w:themeColor="background1"/>
          <w:spacing w:val="-18"/>
          <w:sz w:val="64"/>
          <w:szCs w:val="64"/>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sdtPr>
      <w:sdtEndPr/>
      <w:sdtContent>
        <w:p w14:paraId="040B63E1" w14:textId="0BE1DF04" w:rsidR="007652A4" w:rsidRPr="004902FD" w:rsidRDefault="00B803BB" w:rsidP="007652A4">
          <w:pPr>
            <w:pStyle w:val="NormalNoSpacing"/>
            <w:rPr>
              <w:sz w:val="64"/>
              <w:szCs w:val="64"/>
            </w:rPr>
          </w:pPr>
          <w:r>
            <w:rPr>
              <w:rFonts w:asciiTheme="majorHAnsi" w:eastAsiaTheme="majorEastAsia" w:hAnsiTheme="majorHAnsi" w:cstheme="majorBidi"/>
              <w:b/>
              <w:color w:val="FFFFFF" w:themeColor="background1"/>
              <w:spacing w:val="-18"/>
              <w:sz w:val="64"/>
              <w:szCs w:val="64"/>
              <w14:ligatures w14:val="standardContextual"/>
            </w:rPr>
            <w:t xml:space="preserve">Getting </w:t>
          </w:r>
          <w:r w:rsidR="00203157">
            <w:rPr>
              <w:rFonts w:asciiTheme="majorHAnsi" w:eastAsiaTheme="majorEastAsia" w:hAnsiTheme="majorHAnsi" w:cstheme="majorBidi"/>
              <w:b/>
              <w:color w:val="FFFFFF" w:themeColor="background1"/>
              <w:spacing w:val="-18"/>
              <w:sz w:val="64"/>
              <w:szCs w:val="64"/>
              <w14:ligatures w14:val="standardContextual"/>
            </w:rPr>
            <w:t>r</w:t>
          </w:r>
          <w:r>
            <w:rPr>
              <w:rFonts w:asciiTheme="majorHAnsi" w:eastAsiaTheme="majorEastAsia" w:hAnsiTheme="majorHAnsi" w:cstheme="majorBidi"/>
              <w:b/>
              <w:color w:val="FFFFFF" w:themeColor="background1"/>
              <w:spacing w:val="-18"/>
              <w:sz w:val="64"/>
              <w:szCs w:val="64"/>
              <w14:ligatures w14:val="standardContextual"/>
            </w:rPr>
            <w:t xml:space="preserve">eady to </w:t>
          </w:r>
          <w:r w:rsidR="00203157">
            <w:rPr>
              <w:rFonts w:asciiTheme="majorHAnsi" w:eastAsiaTheme="majorEastAsia" w:hAnsiTheme="majorHAnsi" w:cstheme="majorBidi"/>
              <w:b/>
              <w:color w:val="FFFFFF" w:themeColor="background1"/>
              <w:spacing w:val="-18"/>
              <w:sz w:val="64"/>
              <w:szCs w:val="64"/>
              <w14:ligatures w14:val="standardContextual"/>
            </w:rPr>
            <w:t>i</w:t>
          </w:r>
          <w:r>
            <w:rPr>
              <w:rFonts w:asciiTheme="majorHAnsi" w:eastAsiaTheme="majorEastAsia" w:hAnsiTheme="majorHAnsi" w:cstheme="majorBidi"/>
              <w:b/>
              <w:color w:val="FFFFFF" w:themeColor="background1"/>
              <w:spacing w:val="-18"/>
              <w:sz w:val="64"/>
              <w:szCs w:val="64"/>
              <w14:ligatures w14:val="standardContextual"/>
            </w:rPr>
            <w:t>nvest</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B803BB">
        <w:trPr>
          <w:trHeight w:val="680"/>
        </w:trPr>
        <w:tc>
          <w:tcPr>
            <w:tcW w:w="10261" w:type="dxa"/>
          </w:tcPr>
          <w:p w14:paraId="44035E2B" w14:textId="77777777" w:rsidR="007652A4" w:rsidRPr="00BB56AD" w:rsidRDefault="007652A4" w:rsidP="005C65A2">
            <w:pPr>
              <w:pStyle w:val="TableText"/>
            </w:pPr>
          </w:p>
        </w:tc>
      </w:tr>
    </w:tbl>
    <w:p w14:paraId="3D816F3D" w14:textId="77777777" w:rsidR="00B803BB" w:rsidRPr="00B803BB" w:rsidRDefault="00B803BB" w:rsidP="00B803BB">
      <w:pPr>
        <w:pStyle w:val="Intro"/>
      </w:pPr>
      <w:r w:rsidRPr="00B803BB">
        <w:t>Before you invest you need to save</w:t>
      </w:r>
    </w:p>
    <w:p w14:paraId="29955C3D" w14:textId="77777777" w:rsidR="00B803BB" w:rsidRPr="00B803BB" w:rsidRDefault="00B803BB" w:rsidP="00B803BB">
      <w:pPr>
        <w:rPr>
          <w:lang w:val="en-US"/>
        </w:rPr>
      </w:pPr>
      <w:r w:rsidRPr="00B803BB">
        <w:rPr>
          <w:lang w:val="en-US"/>
        </w:rPr>
        <w:t>Savings is the action of putting money away and not spending it. It should be part of a regular plan to put aside money i.e. each year, month, or week into a savings account for future use. Investing is the action of committing those savings to buy something that has the potential to make more money. This could involve buying shares, starting a business, or buying an asset that will likely increase in value over time.</w:t>
      </w:r>
    </w:p>
    <w:p w14:paraId="62006B45" w14:textId="77777777" w:rsidR="00B803BB" w:rsidRPr="00B803BB" w:rsidRDefault="00B803BB" w:rsidP="00B803BB">
      <w:pPr>
        <w:rPr>
          <w:lang w:val="en-US"/>
        </w:rPr>
      </w:pPr>
      <w:r w:rsidRPr="00B803BB">
        <w:rPr>
          <w:lang w:val="en-US"/>
        </w:rPr>
        <w:t xml:space="preserve">Investing is important because money may lose value over time due to inflation. Inflation is seen through the rise in prices in the economy. For example, a basket of household grocery items (e.g. milk, bread, bananas, etc.) will generally become more expensive every year compared to the previous year. This is because it will cost producers more to produce these items due to the rising cost of the inputs such as wages from using human labour.  This means that not only is it important to save, but to also invest. </w:t>
      </w:r>
    </w:p>
    <w:p w14:paraId="45203179" w14:textId="77777777" w:rsidR="00B803BB" w:rsidRPr="00B803BB" w:rsidRDefault="00B803BB" w:rsidP="00B803BB">
      <w:pPr>
        <w:rPr>
          <w:lang w:val="en-US"/>
        </w:rPr>
      </w:pPr>
      <w:r w:rsidRPr="00B803BB">
        <w:rPr>
          <w:lang w:val="en-US"/>
        </w:rPr>
        <w:t xml:space="preserve">Most investors start with a small amount of money they have saved over a period of time. These funds are then used to invest by buying things such as shares. Many investors then use any profits made from their investing activities and reinvest them. Saving may involve putting a percentage of your income away and reducing your discretionary spending by creating a budget. </w:t>
      </w:r>
    </w:p>
    <w:p w14:paraId="7F16CF03" w14:textId="77777777" w:rsidR="00B803BB" w:rsidRPr="00B803BB" w:rsidRDefault="00B803BB" w:rsidP="00B803BB">
      <w:r w:rsidRPr="00B803BB">
        <w:rPr>
          <w:lang w:val="en-US"/>
        </w:rPr>
        <w:t>The earlier an investor starts saving and investing, the greater the potential to build long-term wealth. This is because of compounding, a process in which an asset’s earnings are reinvested to generate additional earnings over time. This means that the best returns are usually achieved through reinvesting earnings over a long period of time. For example, if $500 is invested today for one year earning 10% per cent per year, that investment will have earned $50. If that $550 is reinvested for another year, and the return continues at a rate of 10 percent, the $50 earned would earn $55 in the second year.  The initial $500 would then be worth $605 (as a result of $50 in the first year and $55 in the second year).</w:t>
      </w:r>
    </w:p>
    <w:p w14:paraId="2910A10D" w14:textId="77777777" w:rsidR="00B803BB" w:rsidRPr="00B803BB" w:rsidRDefault="00B803BB" w:rsidP="00B803BB">
      <w:pPr>
        <w:pStyle w:val="Heading1"/>
      </w:pPr>
      <w:r w:rsidRPr="00B803BB">
        <w:t>Activity 1</w:t>
      </w:r>
    </w:p>
    <w:p w14:paraId="7DFF260B" w14:textId="77777777" w:rsidR="00B803BB" w:rsidRPr="00B803BB" w:rsidRDefault="00B803BB" w:rsidP="00B803BB">
      <w:pPr>
        <w:rPr>
          <w:lang w:val="en-US"/>
        </w:rPr>
      </w:pPr>
      <w:r w:rsidRPr="00B803BB">
        <w:rPr>
          <w:lang w:val="en-US"/>
        </w:rPr>
        <w:t xml:space="preserve">Refer to the example above and then </w:t>
      </w:r>
      <w:r w:rsidRPr="00B803BB">
        <w:rPr>
          <w:b/>
          <w:u w:val="single"/>
          <w:lang w:val="en-US"/>
        </w:rPr>
        <w:t>calculate</w:t>
      </w:r>
      <w:r w:rsidRPr="00B803BB">
        <w:rPr>
          <w:lang w:val="en-US"/>
        </w:rPr>
        <w:t xml:space="preserve"> the return if the $605 is reinvested for a further year at a rate of 10%</w:t>
      </w:r>
    </w:p>
    <w:tbl>
      <w:tblPr>
        <w:tblW w:w="9356" w:type="dxa"/>
        <w:tblBorders>
          <w:top w:val="single" w:sz="4" w:space="0" w:color="001E6E" w:themeColor="accent1"/>
          <w:bottom w:val="single" w:sz="4" w:space="0" w:color="001E6E" w:themeColor="accent1"/>
          <w:insideH w:val="single" w:sz="4" w:space="0" w:color="001E6E" w:themeColor="accent1"/>
        </w:tblBorders>
        <w:tblLook w:val="04A0" w:firstRow="1" w:lastRow="0" w:firstColumn="1" w:lastColumn="0" w:noHBand="0" w:noVBand="1"/>
      </w:tblPr>
      <w:tblGrid>
        <w:gridCol w:w="9356"/>
      </w:tblGrid>
      <w:tr w:rsidR="00B803BB" w:rsidRPr="00B803BB" w14:paraId="40A48EC3" w14:textId="77777777" w:rsidTr="00B803BB">
        <w:trPr>
          <w:trHeight w:val="361"/>
        </w:trPr>
        <w:tc>
          <w:tcPr>
            <w:tcW w:w="9356" w:type="dxa"/>
            <w:tcBorders>
              <w:top w:val="nil"/>
              <w:bottom w:val="single" w:sz="4" w:space="0" w:color="001E6E" w:themeColor="accent1"/>
            </w:tcBorders>
            <w:vAlign w:val="bottom"/>
          </w:tcPr>
          <w:p w14:paraId="40636849" w14:textId="77777777" w:rsidR="00B803BB" w:rsidRPr="00B803BB" w:rsidRDefault="00B803BB" w:rsidP="00B803BB"/>
        </w:tc>
      </w:tr>
      <w:tr w:rsidR="00B803BB" w:rsidRPr="00B803BB" w14:paraId="6889885B" w14:textId="77777777" w:rsidTr="00B803BB">
        <w:trPr>
          <w:trHeight w:val="510"/>
        </w:trPr>
        <w:tc>
          <w:tcPr>
            <w:tcW w:w="9356" w:type="dxa"/>
            <w:tcBorders>
              <w:top w:val="single" w:sz="4" w:space="0" w:color="001E6E" w:themeColor="accent1"/>
              <w:left w:val="nil"/>
              <w:bottom w:val="single" w:sz="4" w:space="0" w:color="001E6E" w:themeColor="accent1"/>
              <w:right w:val="nil"/>
            </w:tcBorders>
            <w:vAlign w:val="bottom"/>
          </w:tcPr>
          <w:p w14:paraId="0405AB4E" w14:textId="77777777" w:rsidR="00B803BB" w:rsidRPr="00B803BB" w:rsidRDefault="00B803BB" w:rsidP="00B803BB"/>
        </w:tc>
      </w:tr>
      <w:tr w:rsidR="00B803BB" w:rsidRPr="00B803BB" w14:paraId="78EA6E18" w14:textId="77777777" w:rsidTr="00B803BB">
        <w:trPr>
          <w:trHeight w:val="510"/>
        </w:trPr>
        <w:tc>
          <w:tcPr>
            <w:tcW w:w="9356" w:type="dxa"/>
            <w:tcBorders>
              <w:top w:val="single" w:sz="4" w:space="0" w:color="001E6E" w:themeColor="accent1"/>
              <w:left w:val="nil"/>
              <w:bottom w:val="single" w:sz="4" w:space="0" w:color="001E6E" w:themeColor="accent1"/>
              <w:right w:val="nil"/>
            </w:tcBorders>
            <w:vAlign w:val="bottom"/>
          </w:tcPr>
          <w:p w14:paraId="7F40EDA9" w14:textId="77777777" w:rsidR="00B803BB" w:rsidRPr="00B803BB" w:rsidRDefault="00B803BB" w:rsidP="00B803BB"/>
        </w:tc>
      </w:tr>
    </w:tbl>
    <w:p w14:paraId="548E78BE" w14:textId="77777777" w:rsidR="00B803BB" w:rsidRPr="00B803BB" w:rsidRDefault="00B803BB" w:rsidP="00B803BB">
      <w:pPr>
        <w:rPr>
          <w:b/>
          <w:bCs/>
          <w:u w:val="single"/>
        </w:rPr>
      </w:pPr>
    </w:p>
    <w:p w14:paraId="78BAEBC2" w14:textId="77777777" w:rsidR="00B803BB" w:rsidRPr="00B803BB" w:rsidRDefault="00B803BB" w:rsidP="00B803BB">
      <w:pPr>
        <w:rPr>
          <w:lang w:val="en-US"/>
        </w:rPr>
      </w:pPr>
      <w:r w:rsidRPr="00B803BB">
        <w:rPr>
          <w:b/>
          <w:u w:val="single"/>
          <w:lang w:val="en-US"/>
        </w:rPr>
        <w:t>Identify</w:t>
      </w:r>
      <w:r w:rsidRPr="00B803BB">
        <w:rPr>
          <w:lang w:val="en-US"/>
        </w:rPr>
        <w:t xml:space="preserve"> a savings goal. This should be a number figure. </w:t>
      </w:r>
    </w:p>
    <w:tbl>
      <w:tblPr>
        <w:tblW w:w="9356" w:type="dxa"/>
        <w:tblBorders>
          <w:top w:val="single" w:sz="4" w:space="0" w:color="001E6E" w:themeColor="accent1"/>
          <w:bottom w:val="single" w:sz="4" w:space="0" w:color="001E6E" w:themeColor="accent1"/>
          <w:insideH w:val="single" w:sz="4" w:space="0" w:color="001E6E" w:themeColor="accent1"/>
        </w:tblBorders>
        <w:tblLook w:val="04A0" w:firstRow="1" w:lastRow="0" w:firstColumn="1" w:lastColumn="0" w:noHBand="0" w:noVBand="1"/>
      </w:tblPr>
      <w:tblGrid>
        <w:gridCol w:w="9356"/>
      </w:tblGrid>
      <w:tr w:rsidR="00B803BB" w:rsidRPr="00B803BB" w14:paraId="572C143B" w14:textId="77777777" w:rsidTr="00B803BB">
        <w:trPr>
          <w:trHeight w:val="361"/>
        </w:trPr>
        <w:tc>
          <w:tcPr>
            <w:tcW w:w="9356" w:type="dxa"/>
            <w:tcBorders>
              <w:top w:val="nil"/>
              <w:bottom w:val="single" w:sz="4" w:space="0" w:color="001E6E" w:themeColor="accent1"/>
            </w:tcBorders>
            <w:vAlign w:val="bottom"/>
          </w:tcPr>
          <w:p w14:paraId="35F37068" w14:textId="77777777" w:rsidR="00B803BB" w:rsidRPr="00B803BB" w:rsidRDefault="00B803BB" w:rsidP="00B803BB"/>
        </w:tc>
      </w:tr>
      <w:tr w:rsidR="00B803BB" w:rsidRPr="00B803BB" w14:paraId="13A3E456" w14:textId="77777777" w:rsidTr="00B803BB">
        <w:trPr>
          <w:trHeight w:val="510"/>
        </w:trPr>
        <w:tc>
          <w:tcPr>
            <w:tcW w:w="9356" w:type="dxa"/>
            <w:tcBorders>
              <w:top w:val="single" w:sz="4" w:space="0" w:color="001E6E" w:themeColor="accent1"/>
              <w:left w:val="nil"/>
              <w:bottom w:val="single" w:sz="4" w:space="0" w:color="001E6E" w:themeColor="accent1"/>
              <w:right w:val="nil"/>
            </w:tcBorders>
            <w:vAlign w:val="bottom"/>
          </w:tcPr>
          <w:p w14:paraId="5110FC17" w14:textId="77777777" w:rsidR="00B803BB" w:rsidRPr="00B803BB" w:rsidRDefault="00B803BB" w:rsidP="00B803BB"/>
        </w:tc>
      </w:tr>
      <w:tr w:rsidR="00B803BB" w:rsidRPr="00B803BB" w14:paraId="47F3386B" w14:textId="77777777" w:rsidTr="00B803BB">
        <w:trPr>
          <w:trHeight w:val="510"/>
        </w:trPr>
        <w:tc>
          <w:tcPr>
            <w:tcW w:w="9356" w:type="dxa"/>
            <w:tcBorders>
              <w:top w:val="single" w:sz="4" w:space="0" w:color="001E6E" w:themeColor="accent1"/>
              <w:left w:val="nil"/>
              <w:bottom w:val="single" w:sz="4" w:space="0" w:color="001E6E" w:themeColor="accent1"/>
              <w:right w:val="nil"/>
            </w:tcBorders>
            <w:vAlign w:val="bottom"/>
          </w:tcPr>
          <w:p w14:paraId="117B72E3" w14:textId="77777777" w:rsidR="00B803BB" w:rsidRPr="00B803BB" w:rsidRDefault="00B803BB" w:rsidP="00B803BB"/>
        </w:tc>
      </w:tr>
    </w:tbl>
    <w:p w14:paraId="58C8456C" w14:textId="77777777" w:rsidR="00B803BB" w:rsidRPr="00B803BB" w:rsidRDefault="00B803BB" w:rsidP="00B803BB">
      <w:pPr>
        <w:rPr>
          <w:b/>
          <w:bCs/>
          <w:iCs/>
        </w:rPr>
      </w:pPr>
      <w:r w:rsidRPr="00B803BB">
        <w:rPr>
          <w:b/>
          <w:bCs/>
          <w:iCs/>
        </w:rPr>
        <w:br w:type="page"/>
      </w:r>
    </w:p>
    <w:p w14:paraId="161C374C" w14:textId="77777777" w:rsidR="00B803BB" w:rsidRPr="00B803BB" w:rsidRDefault="00B803BB" w:rsidP="00B803BB">
      <w:r w:rsidRPr="00B803BB">
        <w:lastRenderedPageBreak/>
        <w:t>Create a budget to save for your future investment in shares:</w:t>
      </w:r>
    </w:p>
    <w:tbl>
      <w:tblPr>
        <w:tblStyle w:val="ASXTable"/>
        <w:tblW w:w="9861" w:type="dxa"/>
        <w:tblLook w:val="04A0" w:firstRow="1" w:lastRow="0" w:firstColumn="1" w:lastColumn="0" w:noHBand="0" w:noVBand="1"/>
      </w:tblPr>
      <w:tblGrid>
        <w:gridCol w:w="1701"/>
        <w:gridCol w:w="680"/>
        <w:gridCol w:w="680"/>
        <w:gridCol w:w="680"/>
        <w:gridCol w:w="680"/>
        <w:gridCol w:w="680"/>
        <w:gridCol w:w="680"/>
        <w:gridCol w:w="680"/>
        <w:gridCol w:w="680"/>
        <w:gridCol w:w="680"/>
        <w:gridCol w:w="680"/>
        <w:gridCol w:w="680"/>
        <w:gridCol w:w="680"/>
      </w:tblGrid>
      <w:tr w:rsidR="00B803BB" w:rsidRPr="00B803BB" w14:paraId="06FC7460" w14:textId="77777777" w:rsidTr="00B803BB">
        <w:trPr>
          <w:cnfStyle w:val="100000000000" w:firstRow="1" w:lastRow="0" w:firstColumn="0" w:lastColumn="0" w:oddVBand="0" w:evenVBand="0" w:oddHBand="0" w:evenHBand="0" w:firstRowFirstColumn="0" w:firstRowLastColumn="0" w:lastRowFirstColumn="0" w:lastRowLastColumn="0"/>
        </w:trPr>
        <w:tc>
          <w:tcPr>
            <w:tcW w:w="1701" w:type="dxa"/>
            <w:hideMark/>
          </w:tcPr>
          <w:p w14:paraId="53822A23" w14:textId="77777777" w:rsidR="00B803BB" w:rsidRPr="00B803BB" w:rsidRDefault="00B803BB" w:rsidP="00B803BB">
            <w:pPr>
              <w:spacing w:before="60" w:after="60"/>
              <w:rPr>
                <w:b/>
                <w:bCs/>
              </w:rPr>
            </w:pPr>
            <w:r w:rsidRPr="00B803BB">
              <w:rPr>
                <w:b/>
                <w:bCs/>
              </w:rPr>
              <w:t xml:space="preserve">Month </w:t>
            </w:r>
          </w:p>
        </w:tc>
        <w:tc>
          <w:tcPr>
            <w:tcW w:w="680" w:type="dxa"/>
            <w:hideMark/>
          </w:tcPr>
          <w:p w14:paraId="43975E27" w14:textId="77777777" w:rsidR="00B803BB" w:rsidRPr="00B803BB" w:rsidRDefault="00B803BB" w:rsidP="00B803BB">
            <w:pPr>
              <w:spacing w:before="60" w:after="60"/>
              <w:rPr>
                <w:b/>
                <w:bCs/>
              </w:rPr>
            </w:pPr>
            <w:r w:rsidRPr="00B803BB">
              <w:rPr>
                <w:b/>
                <w:bCs/>
              </w:rPr>
              <w:t>Jan</w:t>
            </w:r>
          </w:p>
        </w:tc>
        <w:tc>
          <w:tcPr>
            <w:tcW w:w="680" w:type="dxa"/>
            <w:hideMark/>
          </w:tcPr>
          <w:p w14:paraId="2103C50D" w14:textId="77777777" w:rsidR="00B803BB" w:rsidRPr="00B803BB" w:rsidRDefault="00B803BB" w:rsidP="00B803BB">
            <w:pPr>
              <w:spacing w:before="60" w:after="60"/>
              <w:rPr>
                <w:b/>
                <w:bCs/>
              </w:rPr>
            </w:pPr>
            <w:r w:rsidRPr="00B803BB">
              <w:rPr>
                <w:b/>
                <w:bCs/>
              </w:rPr>
              <w:t>Feb</w:t>
            </w:r>
          </w:p>
        </w:tc>
        <w:tc>
          <w:tcPr>
            <w:tcW w:w="680" w:type="dxa"/>
            <w:hideMark/>
          </w:tcPr>
          <w:p w14:paraId="28AB571F" w14:textId="77777777" w:rsidR="00B803BB" w:rsidRPr="00B803BB" w:rsidRDefault="00B803BB" w:rsidP="00B803BB">
            <w:pPr>
              <w:spacing w:before="60" w:after="60"/>
              <w:rPr>
                <w:b/>
                <w:bCs/>
              </w:rPr>
            </w:pPr>
            <w:r w:rsidRPr="00B803BB">
              <w:rPr>
                <w:b/>
                <w:bCs/>
              </w:rPr>
              <w:t>Mar</w:t>
            </w:r>
          </w:p>
        </w:tc>
        <w:tc>
          <w:tcPr>
            <w:tcW w:w="680" w:type="dxa"/>
            <w:hideMark/>
          </w:tcPr>
          <w:p w14:paraId="5039FA1B" w14:textId="77777777" w:rsidR="00B803BB" w:rsidRPr="00B803BB" w:rsidRDefault="00B803BB" w:rsidP="00B803BB">
            <w:pPr>
              <w:spacing w:before="60" w:after="60"/>
              <w:rPr>
                <w:b/>
                <w:bCs/>
              </w:rPr>
            </w:pPr>
            <w:r w:rsidRPr="00B803BB">
              <w:rPr>
                <w:b/>
                <w:bCs/>
              </w:rPr>
              <w:t>Apr</w:t>
            </w:r>
          </w:p>
        </w:tc>
        <w:tc>
          <w:tcPr>
            <w:tcW w:w="680" w:type="dxa"/>
            <w:hideMark/>
          </w:tcPr>
          <w:p w14:paraId="5B3CC057" w14:textId="77777777" w:rsidR="00B803BB" w:rsidRPr="00B803BB" w:rsidRDefault="00B803BB" w:rsidP="00B803BB">
            <w:pPr>
              <w:spacing w:before="60" w:after="60"/>
              <w:rPr>
                <w:b/>
                <w:bCs/>
              </w:rPr>
            </w:pPr>
            <w:r w:rsidRPr="00B803BB">
              <w:rPr>
                <w:b/>
                <w:bCs/>
              </w:rPr>
              <w:t>May</w:t>
            </w:r>
          </w:p>
        </w:tc>
        <w:tc>
          <w:tcPr>
            <w:tcW w:w="680" w:type="dxa"/>
            <w:hideMark/>
          </w:tcPr>
          <w:p w14:paraId="44AB9DFA" w14:textId="77777777" w:rsidR="00B803BB" w:rsidRPr="00B803BB" w:rsidRDefault="00B803BB" w:rsidP="00B803BB">
            <w:pPr>
              <w:spacing w:before="60" w:after="60"/>
              <w:rPr>
                <w:b/>
                <w:bCs/>
              </w:rPr>
            </w:pPr>
            <w:r w:rsidRPr="00B803BB">
              <w:rPr>
                <w:b/>
                <w:bCs/>
              </w:rPr>
              <w:t>Jun</w:t>
            </w:r>
          </w:p>
        </w:tc>
        <w:tc>
          <w:tcPr>
            <w:tcW w:w="680" w:type="dxa"/>
            <w:hideMark/>
          </w:tcPr>
          <w:p w14:paraId="06D84788" w14:textId="77777777" w:rsidR="00B803BB" w:rsidRPr="00B803BB" w:rsidRDefault="00B803BB" w:rsidP="00B803BB">
            <w:pPr>
              <w:spacing w:before="60" w:after="60"/>
              <w:rPr>
                <w:b/>
                <w:bCs/>
              </w:rPr>
            </w:pPr>
            <w:r w:rsidRPr="00B803BB">
              <w:rPr>
                <w:b/>
                <w:bCs/>
              </w:rPr>
              <w:t>Jul</w:t>
            </w:r>
          </w:p>
        </w:tc>
        <w:tc>
          <w:tcPr>
            <w:tcW w:w="680" w:type="dxa"/>
            <w:hideMark/>
          </w:tcPr>
          <w:p w14:paraId="323CD95D" w14:textId="77777777" w:rsidR="00B803BB" w:rsidRPr="00B803BB" w:rsidRDefault="00B803BB" w:rsidP="00B803BB">
            <w:pPr>
              <w:spacing w:before="60" w:after="60"/>
              <w:rPr>
                <w:b/>
                <w:bCs/>
              </w:rPr>
            </w:pPr>
            <w:r w:rsidRPr="00B803BB">
              <w:rPr>
                <w:b/>
                <w:bCs/>
              </w:rPr>
              <w:t>Aug</w:t>
            </w:r>
          </w:p>
        </w:tc>
        <w:tc>
          <w:tcPr>
            <w:tcW w:w="680" w:type="dxa"/>
            <w:hideMark/>
          </w:tcPr>
          <w:p w14:paraId="636B9E06" w14:textId="77777777" w:rsidR="00B803BB" w:rsidRPr="00B803BB" w:rsidRDefault="00B803BB" w:rsidP="00B803BB">
            <w:pPr>
              <w:spacing w:before="60" w:after="60"/>
              <w:rPr>
                <w:b/>
                <w:bCs/>
              </w:rPr>
            </w:pPr>
            <w:r w:rsidRPr="00B803BB">
              <w:rPr>
                <w:b/>
                <w:bCs/>
              </w:rPr>
              <w:t>Sep</w:t>
            </w:r>
          </w:p>
        </w:tc>
        <w:tc>
          <w:tcPr>
            <w:tcW w:w="680" w:type="dxa"/>
            <w:hideMark/>
          </w:tcPr>
          <w:p w14:paraId="329A32D5" w14:textId="77777777" w:rsidR="00B803BB" w:rsidRPr="00B803BB" w:rsidRDefault="00B803BB" w:rsidP="00B803BB">
            <w:pPr>
              <w:spacing w:before="60" w:after="60"/>
              <w:rPr>
                <w:b/>
                <w:bCs/>
              </w:rPr>
            </w:pPr>
            <w:r w:rsidRPr="00B803BB">
              <w:rPr>
                <w:b/>
                <w:bCs/>
              </w:rPr>
              <w:t>Oct</w:t>
            </w:r>
          </w:p>
        </w:tc>
        <w:tc>
          <w:tcPr>
            <w:tcW w:w="680" w:type="dxa"/>
            <w:hideMark/>
          </w:tcPr>
          <w:p w14:paraId="609CE95F" w14:textId="77777777" w:rsidR="00B803BB" w:rsidRPr="00B803BB" w:rsidRDefault="00B803BB" w:rsidP="00B803BB">
            <w:pPr>
              <w:spacing w:before="60" w:after="60"/>
              <w:rPr>
                <w:b/>
                <w:bCs/>
              </w:rPr>
            </w:pPr>
            <w:r w:rsidRPr="00B803BB">
              <w:rPr>
                <w:b/>
                <w:bCs/>
              </w:rPr>
              <w:t>Nov</w:t>
            </w:r>
          </w:p>
        </w:tc>
        <w:tc>
          <w:tcPr>
            <w:tcW w:w="680" w:type="dxa"/>
            <w:hideMark/>
          </w:tcPr>
          <w:p w14:paraId="7EB1D319" w14:textId="77777777" w:rsidR="00B803BB" w:rsidRPr="00B803BB" w:rsidRDefault="00B803BB" w:rsidP="00B803BB">
            <w:pPr>
              <w:spacing w:before="60" w:after="60"/>
              <w:rPr>
                <w:b/>
                <w:bCs/>
              </w:rPr>
            </w:pPr>
            <w:r w:rsidRPr="00B803BB">
              <w:rPr>
                <w:b/>
                <w:bCs/>
              </w:rPr>
              <w:t>Dec</w:t>
            </w:r>
          </w:p>
        </w:tc>
      </w:tr>
      <w:tr w:rsidR="00B803BB" w:rsidRPr="00B803BB" w14:paraId="288AEC61" w14:textId="77777777" w:rsidTr="00B803BB">
        <w:tc>
          <w:tcPr>
            <w:tcW w:w="1701" w:type="dxa"/>
            <w:hideMark/>
          </w:tcPr>
          <w:p w14:paraId="1E0937F5" w14:textId="77777777" w:rsidR="00B803BB" w:rsidRPr="00B803BB" w:rsidRDefault="00B803BB" w:rsidP="00B803BB">
            <w:pPr>
              <w:spacing w:before="60" w:after="60"/>
            </w:pPr>
            <w:r w:rsidRPr="00B803BB">
              <w:t>Income</w:t>
            </w:r>
          </w:p>
        </w:tc>
        <w:tc>
          <w:tcPr>
            <w:tcW w:w="680" w:type="dxa"/>
          </w:tcPr>
          <w:p w14:paraId="62B46481" w14:textId="77777777" w:rsidR="00B803BB" w:rsidRPr="00B803BB" w:rsidRDefault="00B803BB" w:rsidP="00B803BB">
            <w:pPr>
              <w:spacing w:before="60" w:after="60"/>
            </w:pPr>
          </w:p>
        </w:tc>
        <w:tc>
          <w:tcPr>
            <w:tcW w:w="680" w:type="dxa"/>
          </w:tcPr>
          <w:p w14:paraId="3D80930A" w14:textId="77777777" w:rsidR="00B803BB" w:rsidRPr="00B803BB" w:rsidRDefault="00B803BB" w:rsidP="00B803BB">
            <w:pPr>
              <w:spacing w:before="60" w:after="60"/>
            </w:pPr>
          </w:p>
        </w:tc>
        <w:tc>
          <w:tcPr>
            <w:tcW w:w="680" w:type="dxa"/>
          </w:tcPr>
          <w:p w14:paraId="0895A8E0" w14:textId="77777777" w:rsidR="00B803BB" w:rsidRPr="00B803BB" w:rsidRDefault="00B803BB" w:rsidP="00B803BB">
            <w:pPr>
              <w:spacing w:before="60" w:after="60"/>
            </w:pPr>
          </w:p>
        </w:tc>
        <w:tc>
          <w:tcPr>
            <w:tcW w:w="680" w:type="dxa"/>
          </w:tcPr>
          <w:p w14:paraId="707C3C5D" w14:textId="77777777" w:rsidR="00B803BB" w:rsidRPr="00B803BB" w:rsidRDefault="00B803BB" w:rsidP="00B803BB">
            <w:pPr>
              <w:spacing w:before="60" w:after="60"/>
            </w:pPr>
          </w:p>
        </w:tc>
        <w:tc>
          <w:tcPr>
            <w:tcW w:w="680" w:type="dxa"/>
          </w:tcPr>
          <w:p w14:paraId="6924B551" w14:textId="77777777" w:rsidR="00B803BB" w:rsidRPr="00B803BB" w:rsidRDefault="00B803BB" w:rsidP="00B803BB">
            <w:pPr>
              <w:spacing w:before="60" w:after="60"/>
            </w:pPr>
          </w:p>
        </w:tc>
        <w:tc>
          <w:tcPr>
            <w:tcW w:w="680" w:type="dxa"/>
          </w:tcPr>
          <w:p w14:paraId="404CD63E" w14:textId="77777777" w:rsidR="00B803BB" w:rsidRPr="00B803BB" w:rsidRDefault="00B803BB" w:rsidP="00B803BB">
            <w:pPr>
              <w:spacing w:before="60" w:after="60"/>
            </w:pPr>
          </w:p>
        </w:tc>
        <w:tc>
          <w:tcPr>
            <w:tcW w:w="680" w:type="dxa"/>
          </w:tcPr>
          <w:p w14:paraId="5EC3DEFD" w14:textId="77777777" w:rsidR="00B803BB" w:rsidRPr="00B803BB" w:rsidRDefault="00B803BB" w:rsidP="00B803BB">
            <w:pPr>
              <w:spacing w:before="60" w:after="60"/>
            </w:pPr>
          </w:p>
        </w:tc>
        <w:tc>
          <w:tcPr>
            <w:tcW w:w="680" w:type="dxa"/>
          </w:tcPr>
          <w:p w14:paraId="1B4E8147" w14:textId="77777777" w:rsidR="00B803BB" w:rsidRPr="00B803BB" w:rsidRDefault="00B803BB" w:rsidP="00B803BB">
            <w:pPr>
              <w:spacing w:before="60" w:after="60"/>
            </w:pPr>
          </w:p>
        </w:tc>
        <w:tc>
          <w:tcPr>
            <w:tcW w:w="680" w:type="dxa"/>
          </w:tcPr>
          <w:p w14:paraId="2DC253D1" w14:textId="77777777" w:rsidR="00B803BB" w:rsidRPr="00B803BB" w:rsidRDefault="00B803BB" w:rsidP="00B803BB">
            <w:pPr>
              <w:spacing w:before="60" w:after="60"/>
            </w:pPr>
          </w:p>
        </w:tc>
        <w:tc>
          <w:tcPr>
            <w:tcW w:w="680" w:type="dxa"/>
          </w:tcPr>
          <w:p w14:paraId="1316364C" w14:textId="77777777" w:rsidR="00B803BB" w:rsidRPr="00B803BB" w:rsidRDefault="00B803BB" w:rsidP="00B803BB">
            <w:pPr>
              <w:spacing w:before="60" w:after="60"/>
            </w:pPr>
          </w:p>
        </w:tc>
        <w:tc>
          <w:tcPr>
            <w:tcW w:w="680" w:type="dxa"/>
          </w:tcPr>
          <w:p w14:paraId="562DAC05" w14:textId="77777777" w:rsidR="00B803BB" w:rsidRPr="00B803BB" w:rsidRDefault="00B803BB" w:rsidP="00B803BB">
            <w:pPr>
              <w:spacing w:before="60" w:after="60"/>
            </w:pPr>
          </w:p>
        </w:tc>
        <w:tc>
          <w:tcPr>
            <w:tcW w:w="680" w:type="dxa"/>
          </w:tcPr>
          <w:p w14:paraId="312D0E50" w14:textId="77777777" w:rsidR="00B803BB" w:rsidRPr="00B803BB" w:rsidRDefault="00B803BB" w:rsidP="00B803BB">
            <w:pPr>
              <w:spacing w:before="60" w:after="60"/>
            </w:pPr>
          </w:p>
        </w:tc>
      </w:tr>
      <w:tr w:rsidR="00B803BB" w:rsidRPr="00B803BB" w14:paraId="5B8E9484" w14:textId="77777777" w:rsidTr="00B803BB">
        <w:tc>
          <w:tcPr>
            <w:tcW w:w="1701" w:type="dxa"/>
            <w:hideMark/>
          </w:tcPr>
          <w:p w14:paraId="749B0C7E" w14:textId="77777777" w:rsidR="00B803BB" w:rsidRPr="00B803BB" w:rsidRDefault="00B803BB" w:rsidP="00B803BB">
            <w:pPr>
              <w:spacing w:before="60" w:after="60"/>
            </w:pPr>
            <w:r w:rsidRPr="00B803BB">
              <w:t>Expenditure</w:t>
            </w:r>
          </w:p>
        </w:tc>
        <w:tc>
          <w:tcPr>
            <w:tcW w:w="680" w:type="dxa"/>
          </w:tcPr>
          <w:p w14:paraId="7B3B3402" w14:textId="77777777" w:rsidR="00B803BB" w:rsidRPr="00B803BB" w:rsidRDefault="00B803BB" w:rsidP="00B803BB">
            <w:pPr>
              <w:spacing w:before="60" w:after="60"/>
            </w:pPr>
          </w:p>
        </w:tc>
        <w:tc>
          <w:tcPr>
            <w:tcW w:w="680" w:type="dxa"/>
          </w:tcPr>
          <w:p w14:paraId="294722D8" w14:textId="77777777" w:rsidR="00B803BB" w:rsidRPr="00B803BB" w:rsidRDefault="00B803BB" w:rsidP="00B803BB">
            <w:pPr>
              <w:spacing w:before="60" w:after="60"/>
            </w:pPr>
          </w:p>
        </w:tc>
        <w:tc>
          <w:tcPr>
            <w:tcW w:w="680" w:type="dxa"/>
          </w:tcPr>
          <w:p w14:paraId="29108486" w14:textId="77777777" w:rsidR="00B803BB" w:rsidRPr="00B803BB" w:rsidRDefault="00B803BB" w:rsidP="00B803BB">
            <w:pPr>
              <w:spacing w:before="60" w:after="60"/>
            </w:pPr>
          </w:p>
        </w:tc>
        <w:tc>
          <w:tcPr>
            <w:tcW w:w="680" w:type="dxa"/>
          </w:tcPr>
          <w:p w14:paraId="79B8CA2A" w14:textId="77777777" w:rsidR="00B803BB" w:rsidRPr="00B803BB" w:rsidRDefault="00B803BB" w:rsidP="00B803BB">
            <w:pPr>
              <w:spacing w:before="60" w:after="60"/>
            </w:pPr>
          </w:p>
        </w:tc>
        <w:tc>
          <w:tcPr>
            <w:tcW w:w="680" w:type="dxa"/>
          </w:tcPr>
          <w:p w14:paraId="4130A405" w14:textId="77777777" w:rsidR="00B803BB" w:rsidRPr="00B803BB" w:rsidRDefault="00B803BB" w:rsidP="00B803BB">
            <w:pPr>
              <w:spacing w:before="60" w:after="60"/>
            </w:pPr>
          </w:p>
        </w:tc>
        <w:tc>
          <w:tcPr>
            <w:tcW w:w="680" w:type="dxa"/>
          </w:tcPr>
          <w:p w14:paraId="021129EA" w14:textId="77777777" w:rsidR="00B803BB" w:rsidRPr="00B803BB" w:rsidRDefault="00B803BB" w:rsidP="00B803BB">
            <w:pPr>
              <w:spacing w:before="60" w:after="60"/>
            </w:pPr>
          </w:p>
        </w:tc>
        <w:tc>
          <w:tcPr>
            <w:tcW w:w="680" w:type="dxa"/>
          </w:tcPr>
          <w:p w14:paraId="67819E2B" w14:textId="77777777" w:rsidR="00B803BB" w:rsidRPr="00B803BB" w:rsidRDefault="00B803BB" w:rsidP="00B803BB">
            <w:pPr>
              <w:spacing w:before="60" w:after="60"/>
            </w:pPr>
          </w:p>
        </w:tc>
        <w:tc>
          <w:tcPr>
            <w:tcW w:w="680" w:type="dxa"/>
          </w:tcPr>
          <w:p w14:paraId="729DBF3F" w14:textId="77777777" w:rsidR="00B803BB" w:rsidRPr="00B803BB" w:rsidRDefault="00B803BB" w:rsidP="00B803BB">
            <w:pPr>
              <w:spacing w:before="60" w:after="60"/>
            </w:pPr>
          </w:p>
        </w:tc>
        <w:tc>
          <w:tcPr>
            <w:tcW w:w="680" w:type="dxa"/>
          </w:tcPr>
          <w:p w14:paraId="28BECCBF" w14:textId="77777777" w:rsidR="00B803BB" w:rsidRPr="00B803BB" w:rsidRDefault="00B803BB" w:rsidP="00B803BB">
            <w:pPr>
              <w:spacing w:before="60" w:after="60"/>
            </w:pPr>
          </w:p>
        </w:tc>
        <w:tc>
          <w:tcPr>
            <w:tcW w:w="680" w:type="dxa"/>
          </w:tcPr>
          <w:p w14:paraId="3AC194C7" w14:textId="77777777" w:rsidR="00B803BB" w:rsidRPr="00B803BB" w:rsidRDefault="00B803BB" w:rsidP="00B803BB">
            <w:pPr>
              <w:spacing w:before="60" w:after="60"/>
            </w:pPr>
          </w:p>
        </w:tc>
        <w:tc>
          <w:tcPr>
            <w:tcW w:w="680" w:type="dxa"/>
          </w:tcPr>
          <w:p w14:paraId="2F756485" w14:textId="77777777" w:rsidR="00B803BB" w:rsidRPr="00B803BB" w:rsidRDefault="00B803BB" w:rsidP="00B803BB">
            <w:pPr>
              <w:spacing w:before="60" w:after="60"/>
            </w:pPr>
          </w:p>
        </w:tc>
        <w:tc>
          <w:tcPr>
            <w:tcW w:w="680" w:type="dxa"/>
          </w:tcPr>
          <w:p w14:paraId="459E0E12" w14:textId="77777777" w:rsidR="00B803BB" w:rsidRPr="00B803BB" w:rsidRDefault="00B803BB" w:rsidP="00B803BB">
            <w:pPr>
              <w:spacing w:before="60" w:after="60"/>
            </w:pPr>
          </w:p>
        </w:tc>
      </w:tr>
      <w:tr w:rsidR="00B803BB" w:rsidRPr="00B803BB" w14:paraId="405E679A" w14:textId="77777777" w:rsidTr="00B803BB">
        <w:tc>
          <w:tcPr>
            <w:tcW w:w="1701" w:type="dxa"/>
            <w:hideMark/>
          </w:tcPr>
          <w:p w14:paraId="07E46CD7" w14:textId="77777777" w:rsidR="00B803BB" w:rsidRPr="00B803BB" w:rsidRDefault="00B803BB" w:rsidP="00B803BB">
            <w:pPr>
              <w:spacing w:before="60" w:after="60"/>
            </w:pPr>
            <w:r w:rsidRPr="00B803BB">
              <w:t>Surplus/(Deficit)</w:t>
            </w:r>
          </w:p>
        </w:tc>
        <w:tc>
          <w:tcPr>
            <w:tcW w:w="680" w:type="dxa"/>
          </w:tcPr>
          <w:p w14:paraId="61302242" w14:textId="77777777" w:rsidR="00B803BB" w:rsidRPr="00B803BB" w:rsidRDefault="00B803BB" w:rsidP="00B803BB">
            <w:pPr>
              <w:spacing w:before="60" w:after="60"/>
            </w:pPr>
          </w:p>
        </w:tc>
        <w:tc>
          <w:tcPr>
            <w:tcW w:w="680" w:type="dxa"/>
          </w:tcPr>
          <w:p w14:paraId="0E9F39FC" w14:textId="77777777" w:rsidR="00B803BB" w:rsidRPr="00B803BB" w:rsidRDefault="00B803BB" w:rsidP="00B803BB">
            <w:pPr>
              <w:spacing w:before="60" w:after="60"/>
            </w:pPr>
          </w:p>
        </w:tc>
        <w:tc>
          <w:tcPr>
            <w:tcW w:w="680" w:type="dxa"/>
          </w:tcPr>
          <w:p w14:paraId="0D8043A1" w14:textId="77777777" w:rsidR="00B803BB" w:rsidRPr="00B803BB" w:rsidRDefault="00B803BB" w:rsidP="00B803BB">
            <w:pPr>
              <w:spacing w:before="60" w:after="60"/>
            </w:pPr>
          </w:p>
        </w:tc>
        <w:tc>
          <w:tcPr>
            <w:tcW w:w="680" w:type="dxa"/>
          </w:tcPr>
          <w:p w14:paraId="0CAF2B1E" w14:textId="77777777" w:rsidR="00B803BB" w:rsidRPr="00B803BB" w:rsidRDefault="00B803BB" w:rsidP="00B803BB">
            <w:pPr>
              <w:spacing w:before="60" w:after="60"/>
            </w:pPr>
          </w:p>
        </w:tc>
        <w:tc>
          <w:tcPr>
            <w:tcW w:w="680" w:type="dxa"/>
          </w:tcPr>
          <w:p w14:paraId="3715D725" w14:textId="77777777" w:rsidR="00B803BB" w:rsidRPr="00B803BB" w:rsidRDefault="00B803BB" w:rsidP="00B803BB">
            <w:pPr>
              <w:spacing w:before="60" w:after="60"/>
            </w:pPr>
          </w:p>
        </w:tc>
        <w:tc>
          <w:tcPr>
            <w:tcW w:w="680" w:type="dxa"/>
          </w:tcPr>
          <w:p w14:paraId="5BEB7796" w14:textId="77777777" w:rsidR="00B803BB" w:rsidRPr="00B803BB" w:rsidRDefault="00B803BB" w:rsidP="00B803BB">
            <w:pPr>
              <w:spacing w:before="60" w:after="60"/>
            </w:pPr>
          </w:p>
        </w:tc>
        <w:tc>
          <w:tcPr>
            <w:tcW w:w="680" w:type="dxa"/>
          </w:tcPr>
          <w:p w14:paraId="7357AAD4" w14:textId="77777777" w:rsidR="00B803BB" w:rsidRPr="00B803BB" w:rsidRDefault="00B803BB" w:rsidP="00B803BB">
            <w:pPr>
              <w:spacing w:before="60" w:after="60"/>
            </w:pPr>
          </w:p>
        </w:tc>
        <w:tc>
          <w:tcPr>
            <w:tcW w:w="680" w:type="dxa"/>
          </w:tcPr>
          <w:p w14:paraId="05417218" w14:textId="77777777" w:rsidR="00B803BB" w:rsidRPr="00B803BB" w:rsidRDefault="00B803BB" w:rsidP="00B803BB">
            <w:pPr>
              <w:spacing w:before="60" w:after="60"/>
            </w:pPr>
          </w:p>
        </w:tc>
        <w:tc>
          <w:tcPr>
            <w:tcW w:w="680" w:type="dxa"/>
          </w:tcPr>
          <w:p w14:paraId="3AC2A590" w14:textId="77777777" w:rsidR="00B803BB" w:rsidRPr="00B803BB" w:rsidRDefault="00B803BB" w:rsidP="00B803BB">
            <w:pPr>
              <w:spacing w:before="60" w:after="60"/>
            </w:pPr>
          </w:p>
        </w:tc>
        <w:tc>
          <w:tcPr>
            <w:tcW w:w="680" w:type="dxa"/>
          </w:tcPr>
          <w:p w14:paraId="58564A8C" w14:textId="77777777" w:rsidR="00B803BB" w:rsidRPr="00B803BB" w:rsidRDefault="00B803BB" w:rsidP="00B803BB">
            <w:pPr>
              <w:spacing w:before="60" w:after="60"/>
            </w:pPr>
          </w:p>
        </w:tc>
        <w:tc>
          <w:tcPr>
            <w:tcW w:w="680" w:type="dxa"/>
          </w:tcPr>
          <w:p w14:paraId="0176B069" w14:textId="77777777" w:rsidR="00B803BB" w:rsidRPr="00B803BB" w:rsidRDefault="00B803BB" w:rsidP="00B803BB">
            <w:pPr>
              <w:spacing w:before="60" w:after="60"/>
            </w:pPr>
          </w:p>
        </w:tc>
        <w:tc>
          <w:tcPr>
            <w:tcW w:w="680" w:type="dxa"/>
          </w:tcPr>
          <w:p w14:paraId="415A4D90" w14:textId="77777777" w:rsidR="00B803BB" w:rsidRPr="00B803BB" w:rsidRDefault="00B803BB" w:rsidP="00B803BB">
            <w:pPr>
              <w:spacing w:before="60" w:after="60"/>
            </w:pPr>
          </w:p>
        </w:tc>
      </w:tr>
    </w:tbl>
    <w:p w14:paraId="00B95F88" w14:textId="77777777" w:rsidR="00B803BB" w:rsidRPr="00B803BB" w:rsidRDefault="00B803BB" w:rsidP="00B803BB"/>
    <w:p w14:paraId="62929D0D" w14:textId="77777777" w:rsidR="00B803BB" w:rsidRPr="00B803BB" w:rsidRDefault="00B803BB" w:rsidP="00B803BB">
      <w:pPr>
        <w:pStyle w:val="Heading3"/>
        <w:rPr>
          <w:lang w:val="en-US"/>
        </w:rPr>
      </w:pPr>
      <w:r w:rsidRPr="00B803BB">
        <w:rPr>
          <w:lang w:val="en-US"/>
        </w:rPr>
        <w:t xml:space="preserve">Total Surplus or Deficit for the year: </w:t>
      </w:r>
    </w:p>
    <w:tbl>
      <w:tblPr>
        <w:tblStyle w:val="ASXTable"/>
        <w:tblW w:w="9356" w:type="dxa"/>
        <w:tblLook w:val="0680" w:firstRow="0" w:lastRow="0" w:firstColumn="1" w:lastColumn="0" w:noHBand="1" w:noVBand="1"/>
      </w:tblPr>
      <w:tblGrid>
        <w:gridCol w:w="9356"/>
      </w:tblGrid>
      <w:tr w:rsidR="00B803BB" w:rsidRPr="00B803BB" w14:paraId="69A83D3D" w14:textId="77777777" w:rsidTr="00B803BB">
        <w:trPr>
          <w:trHeight w:val="90"/>
        </w:trPr>
        <w:tc>
          <w:tcPr>
            <w:tcW w:w="9356" w:type="dxa"/>
          </w:tcPr>
          <w:p w14:paraId="2D9FE1DA" w14:textId="77777777" w:rsidR="00B803BB" w:rsidRPr="00B803BB" w:rsidRDefault="00B803BB" w:rsidP="00B803BB">
            <w:pPr>
              <w:pStyle w:val="NormalNoSpacing"/>
              <w:spacing w:before="120" w:after="120"/>
              <w:contextualSpacing w:val="0"/>
            </w:pPr>
          </w:p>
        </w:tc>
      </w:tr>
    </w:tbl>
    <w:p w14:paraId="76422D37" w14:textId="77777777" w:rsidR="00B803BB" w:rsidRPr="00B803BB" w:rsidRDefault="00B803BB" w:rsidP="00B803BB">
      <w:pPr>
        <w:rPr>
          <w:b/>
          <w:u w:val="single"/>
          <w:lang w:val="en-US"/>
        </w:rPr>
      </w:pPr>
    </w:p>
    <w:p w14:paraId="63CD91F0" w14:textId="77777777" w:rsidR="00B803BB" w:rsidRPr="00B803BB" w:rsidRDefault="00B803BB" w:rsidP="00B803BB">
      <w:pPr>
        <w:rPr>
          <w:lang w:val="en-US"/>
        </w:rPr>
      </w:pPr>
      <w:r w:rsidRPr="00B803BB">
        <w:rPr>
          <w:b/>
          <w:u w:val="single"/>
          <w:lang w:val="en-US"/>
        </w:rPr>
        <w:t>Identify</w:t>
      </w:r>
      <w:r w:rsidRPr="00B803BB">
        <w:rPr>
          <w:lang w:val="en-US"/>
        </w:rPr>
        <w:t xml:space="preserve"> the discretionary spending that can be reduced throughout the year to enable a greater surplus. </w:t>
      </w:r>
    </w:p>
    <w:tbl>
      <w:tblPr>
        <w:tblStyle w:val="ASXTable"/>
        <w:tblW w:w="9356" w:type="dxa"/>
        <w:tblLook w:val="0480" w:firstRow="0" w:lastRow="0" w:firstColumn="1" w:lastColumn="0" w:noHBand="0" w:noVBand="1"/>
      </w:tblPr>
      <w:tblGrid>
        <w:gridCol w:w="9356"/>
      </w:tblGrid>
      <w:tr w:rsidR="00B803BB" w:rsidRPr="00B803BB" w14:paraId="0AB0DF4E" w14:textId="77777777" w:rsidTr="00B803BB">
        <w:trPr>
          <w:trHeight w:val="20"/>
        </w:trPr>
        <w:tc>
          <w:tcPr>
            <w:tcW w:w="9356" w:type="dxa"/>
          </w:tcPr>
          <w:p w14:paraId="606480DF" w14:textId="77777777" w:rsidR="00B803BB" w:rsidRPr="00B803BB" w:rsidRDefault="00B803BB" w:rsidP="00B803BB">
            <w:pPr>
              <w:pStyle w:val="NormalNoSpacing"/>
              <w:spacing w:before="120" w:after="120"/>
              <w:contextualSpacing w:val="0"/>
            </w:pPr>
          </w:p>
        </w:tc>
      </w:tr>
      <w:tr w:rsidR="00B803BB" w:rsidRPr="00B803BB" w14:paraId="6BB21171" w14:textId="77777777" w:rsidTr="00B803BB">
        <w:trPr>
          <w:trHeight w:val="20"/>
        </w:trPr>
        <w:tc>
          <w:tcPr>
            <w:tcW w:w="9356" w:type="dxa"/>
          </w:tcPr>
          <w:p w14:paraId="3E736337" w14:textId="77777777" w:rsidR="00B803BB" w:rsidRPr="00B803BB" w:rsidRDefault="00B803BB" w:rsidP="00B803BB">
            <w:pPr>
              <w:pStyle w:val="NormalNoSpacing"/>
              <w:spacing w:before="120" w:after="120"/>
              <w:contextualSpacing w:val="0"/>
            </w:pPr>
          </w:p>
        </w:tc>
      </w:tr>
      <w:tr w:rsidR="00B803BB" w:rsidRPr="00B803BB" w14:paraId="15E1B402" w14:textId="77777777" w:rsidTr="00B803BB">
        <w:trPr>
          <w:trHeight w:val="20"/>
        </w:trPr>
        <w:tc>
          <w:tcPr>
            <w:tcW w:w="9356" w:type="dxa"/>
          </w:tcPr>
          <w:p w14:paraId="2953FB70" w14:textId="77777777" w:rsidR="00B803BB" w:rsidRPr="00B803BB" w:rsidRDefault="00B803BB" w:rsidP="00B803BB">
            <w:pPr>
              <w:pStyle w:val="NormalNoSpacing"/>
              <w:spacing w:before="120" w:after="120"/>
              <w:contextualSpacing w:val="0"/>
            </w:pPr>
          </w:p>
        </w:tc>
      </w:tr>
      <w:tr w:rsidR="00B803BB" w:rsidRPr="00B803BB" w14:paraId="7A2CC1F2" w14:textId="77777777" w:rsidTr="00B803BB">
        <w:trPr>
          <w:trHeight w:val="20"/>
        </w:trPr>
        <w:tc>
          <w:tcPr>
            <w:tcW w:w="9356" w:type="dxa"/>
          </w:tcPr>
          <w:p w14:paraId="0EC36CAC" w14:textId="77777777" w:rsidR="00B803BB" w:rsidRPr="00B803BB" w:rsidRDefault="00B803BB" w:rsidP="00B803BB">
            <w:pPr>
              <w:pStyle w:val="NormalNoSpacing"/>
              <w:spacing w:before="120" w:after="120"/>
              <w:contextualSpacing w:val="0"/>
            </w:pPr>
          </w:p>
        </w:tc>
      </w:tr>
    </w:tbl>
    <w:p w14:paraId="22195B59" w14:textId="77777777" w:rsidR="00B803BB" w:rsidRPr="00B803BB" w:rsidRDefault="00B803BB" w:rsidP="00B803BB">
      <w:pPr>
        <w:numPr>
          <w:ilvl w:val="0"/>
          <w:numId w:val="5"/>
        </w:numPr>
      </w:pPr>
    </w:p>
    <w:p w14:paraId="41D237AE" w14:textId="3517B00A" w:rsidR="00B803BB" w:rsidRPr="00B803BB" w:rsidRDefault="00B803BB" w:rsidP="00B803BB">
      <w:pPr>
        <w:pStyle w:val="Heading1"/>
      </w:pPr>
      <w:r w:rsidRPr="00B803BB">
        <w:t xml:space="preserve">Investment </w:t>
      </w:r>
      <w:r w:rsidR="00203157">
        <w:t>a</w:t>
      </w:r>
      <w:r w:rsidRPr="00B803BB">
        <w:t>lternatives</w:t>
      </w:r>
    </w:p>
    <w:p w14:paraId="38AED997" w14:textId="77777777" w:rsidR="00B803BB" w:rsidRPr="00B803BB" w:rsidRDefault="00B803BB" w:rsidP="00B803BB">
      <w:pPr>
        <w:rPr>
          <w:lang w:val="en-US"/>
        </w:rPr>
      </w:pPr>
      <w:r w:rsidRPr="00B803BB">
        <w:rPr>
          <w:lang w:val="en-US"/>
        </w:rPr>
        <w:t>There are many different types of investments available to investors. A few of the more common investments include:</w:t>
      </w:r>
    </w:p>
    <w:p w14:paraId="26DE455B" w14:textId="77777777" w:rsidR="00B803BB" w:rsidRPr="00B803BB" w:rsidRDefault="00B803BB" w:rsidP="002D5E04">
      <w:pPr>
        <w:pStyle w:val="Heading2"/>
      </w:pPr>
      <w:r w:rsidRPr="00B803BB">
        <w:t xml:space="preserve"> 1. Cash investments</w:t>
      </w:r>
    </w:p>
    <w:p w14:paraId="3817832F" w14:textId="77777777" w:rsidR="00B803BB" w:rsidRPr="00B803BB" w:rsidRDefault="00B803BB" w:rsidP="00B803BB">
      <w:pPr>
        <w:rPr>
          <w:lang w:val="en-US"/>
        </w:rPr>
      </w:pPr>
      <w:r w:rsidRPr="00B803BB">
        <w:rPr>
          <w:lang w:val="en-US"/>
        </w:rPr>
        <w:t xml:space="preserve">This involves simply putting money into a savings account, which is loaning the money to the bank and in return receiving interest. This is known as a Savings accounts, which is a low-risk investment with interest paid at a relatively low rate compared to other investments. There are other products such as Cash Management Trusts and Term Deposits (these rely on locking-in money for periods of time in exchange for interest), which are usually available at a bank or credit union which allow you to invest your cash at slightly higher rates with additional terms and conditions. </w:t>
      </w:r>
    </w:p>
    <w:p w14:paraId="791074B8" w14:textId="77777777" w:rsidR="00B803BB" w:rsidRPr="00B803BB" w:rsidRDefault="00B803BB" w:rsidP="002D5E04">
      <w:pPr>
        <w:pStyle w:val="Heading2"/>
      </w:pPr>
      <w:r w:rsidRPr="00B803BB">
        <w:t xml:space="preserve"> 2. Collectibles</w:t>
      </w:r>
    </w:p>
    <w:p w14:paraId="075A9E19" w14:textId="77777777" w:rsidR="00B803BB" w:rsidRPr="00B803BB" w:rsidRDefault="00B803BB" w:rsidP="00B803BB">
      <w:pPr>
        <w:rPr>
          <w:lang w:val="en-US"/>
        </w:rPr>
      </w:pPr>
      <w:r w:rsidRPr="00B803BB">
        <w:rPr>
          <w:lang w:val="en-US"/>
        </w:rPr>
        <w:t>These are items that are relatively rare in number such as works of art, sporting memorabilia, and antique furniture. Some of these investments can rise by large amounts. For example, the Australian Government bought the painting called ‘Blue Poles’ by the American artist Jackson Pollock in 1973 for $1.3 million. This was regarded as a huge amount of money at the time. Experts say the painting would now be worth more than 25 times the price paid for it.</w:t>
      </w:r>
    </w:p>
    <w:p w14:paraId="3A6FE43F" w14:textId="77777777" w:rsidR="00B803BB" w:rsidRPr="00B803BB" w:rsidRDefault="00B803BB" w:rsidP="002D5E04">
      <w:pPr>
        <w:pStyle w:val="Heading2"/>
      </w:pPr>
      <w:r w:rsidRPr="00B803BB">
        <w:t>3. Property</w:t>
      </w:r>
    </w:p>
    <w:p w14:paraId="71942372" w14:textId="77777777" w:rsidR="00B803BB" w:rsidRPr="00B803BB" w:rsidRDefault="00B803BB" w:rsidP="00B803BB">
      <w:pPr>
        <w:rPr>
          <w:lang w:val="en-US"/>
        </w:rPr>
      </w:pPr>
      <w:r w:rsidRPr="00B803BB">
        <w:rPr>
          <w:lang w:val="en-US"/>
        </w:rPr>
        <w:t xml:space="preserve">One of the most common types of investment is purchasing land and/or a building in the hope that it eventually increases in value and can be sold at a higher price to make a profit at a later date. Investors can also invest in property through the sharemarket using a listed property trust, which allows you to invest in a company that invests in real estate that it then leases out to tenants. </w:t>
      </w:r>
    </w:p>
    <w:p w14:paraId="5B20AF18" w14:textId="77777777" w:rsidR="00B803BB" w:rsidRPr="00B803BB" w:rsidRDefault="00B803BB" w:rsidP="00B803BB">
      <w:pPr>
        <w:rPr>
          <w:lang w:val="en-US"/>
        </w:rPr>
      </w:pPr>
      <w:r w:rsidRPr="00B803BB">
        <w:rPr>
          <w:lang w:val="en-US"/>
        </w:rPr>
        <w:t xml:space="preserve">Investing in property can be a strong investment with some tax advantages, however it can be very expensive to purchase, forcing investors to often borrow large amounts of money which then have interest and repayments related to the investment. It may also take a while to sell if funds are required quickly. In addition to this, not all property rises in value, determined by supply and demand with some suburbs becoming more appealing or less appealing over time as people choose to live and work in an area. For example, real estate in the mining suburb of Karratha was in the millions in 2010 during a mining boom, but most properties in this area are now a quarter of the price with less people wanting to live there. Other areas have remained relatively </w:t>
      </w:r>
      <w:r w:rsidRPr="00B803BB">
        <w:rPr>
          <w:lang w:val="en-US"/>
        </w:rPr>
        <w:lastRenderedPageBreak/>
        <w:t xml:space="preserve">stable, rising steadily over time such as a house in Sydney Harbour where there is still a lot of demand for homes. All real estate investment has risk; however, some people may still prefer to invest in real estate as it is a tangible “bricks &amp; mortar” investment. </w:t>
      </w:r>
    </w:p>
    <w:p w14:paraId="0FEA0E1A" w14:textId="77777777" w:rsidR="00B803BB" w:rsidRPr="00B803BB" w:rsidRDefault="00B803BB" w:rsidP="002D5E04">
      <w:pPr>
        <w:pStyle w:val="Heading2"/>
      </w:pPr>
      <w:r w:rsidRPr="00B803BB">
        <w:t>4. Shares</w:t>
      </w:r>
    </w:p>
    <w:p w14:paraId="212BC1E1" w14:textId="77777777" w:rsidR="00B803BB" w:rsidRDefault="00B803BB" w:rsidP="00B803BB">
      <w:pPr>
        <w:rPr>
          <w:lang w:val="en-US"/>
        </w:rPr>
      </w:pPr>
      <w:r w:rsidRPr="00B803BB">
        <w:rPr>
          <w:lang w:val="en-US"/>
        </w:rPr>
        <w:t xml:space="preserve">This is one of the simplest and popular types of investments in Australia because of its potential for good returns. As with all investments, an investor needs to assess the potential risks and returns when investing in shares. Shares can be a sound long-term investment, are easy to trade and require only a small amount of money to invest. Like any investment, shares have risks you need to understand before trading.  </w:t>
      </w:r>
    </w:p>
    <w:p w14:paraId="62248A36" w14:textId="77777777" w:rsidR="00A92E45" w:rsidRPr="00B803BB" w:rsidRDefault="00A92E45" w:rsidP="00B803BB">
      <w:pPr>
        <w:rPr>
          <w:lang w:val="en-US"/>
        </w:rPr>
      </w:pPr>
    </w:p>
    <w:p w14:paraId="26B9A4B0" w14:textId="3A95F8A4" w:rsidR="00B803BB" w:rsidRPr="00B803BB" w:rsidRDefault="00B803BB" w:rsidP="00A92E45">
      <w:pPr>
        <w:pStyle w:val="Heading1"/>
      </w:pPr>
      <w:r w:rsidRPr="00B803BB">
        <w:t xml:space="preserve">Getting </w:t>
      </w:r>
      <w:r w:rsidR="00203157">
        <w:t>r</w:t>
      </w:r>
      <w:r w:rsidRPr="00B803BB">
        <w:t xml:space="preserve">eady to </w:t>
      </w:r>
      <w:r w:rsidR="00203157">
        <w:t>i</w:t>
      </w:r>
      <w:r w:rsidRPr="00B803BB">
        <w:t>nvest</w:t>
      </w:r>
    </w:p>
    <w:p w14:paraId="3AEFC682" w14:textId="77777777" w:rsidR="00B803BB" w:rsidRPr="00B803BB" w:rsidRDefault="00B803BB" w:rsidP="00A92E45">
      <w:pPr>
        <w:pStyle w:val="Heading2"/>
      </w:pPr>
      <w:r w:rsidRPr="00B803BB">
        <w:t>Share investment – Risk and Return</w:t>
      </w:r>
    </w:p>
    <w:p w14:paraId="1B9F4983" w14:textId="3CC1E4A2" w:rsidR="00B803BB" w:rsidRPr="00B803BB" w:rsidRDefault="00B803BB" w:rsidP="00B803BB">
      <w:r w:rsidRPr="00B803BB">
        <w:rPr>
          <w:noProof/>
        </w:rPr>
        <w:drawing>
          <wp:inline distT="0" distB="0" distL="0" distR="0" wp14:anchorId="200EB65D" wp14:editId="547E0E59">
            <wp:extent cx="5038725" cy="4133850"/>
            <wp:effectExtent l="0" t="0" r="9525" b="0"/>
            <wp:docPr id="47373266" name="Picture 10" descr="A grap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3266" name="Picture 10" descr="A graph of a stock marke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4133850"/>
                    </a:xfrm>
                    <a:prstGeom prst="rect">
                      <a:avLst/>
                    </a:prstGeom>
                    <a:noFill/>
                    <a:ln>
                      <a:noFill/>
                    </a:ln>
                  </pic:spPr>
                </pic:pic>
              </a:graphicData>
            </a:graphic>
          </wp:inline>
        </w:drawing>
      </w:r>
    </w:p>
    <w:p w14:paraId="48D3E9BA" w14:textId="77777777" w:rsidR="00B803BB" w:rsidRPr="00B803BB" w:rsidRDefault="00B803BB" w:rsidP="00B803BB">
      <w:pPr>
        <w:rPr>
          <w:lang w:val="en-US"/>
        </w:rPr>
      </w:pPr>
      <w:r w:rsidRPr="00B803BB">
        <w:rPr>
          <w:lang w:val="en-US"/>
        </w:rPr>
        <w:t xml:space="preserve">As illustrated by the graph above, the sharemarket can be a profitable investment over the long term. However, all investments have risk. It is up to the individual to decide what level of risk they are comfortable with. There are some ways to mitigate (reduce the level of risk) including researching the companies or industries you intend on investing in and diversifying your investment portfolio (investing across several companies and across several industries), however there are not guaranteed ways to be completely risk free when investing. </w:t>
      </w:r>
    </w:p>
    <w:p w14:paraId="04BA54D3" w14:textId="77777777" w:rsidR="00B803BB" w:rsidRPr="00B803BB" w:rsidRDefault="00B803BB" w:rsidP="00B803BB">
      <w:pPr>
        <w:rPr>
          <w:lang w:val="en-US"/>
        </w:rPr>
      </w:pPr>
      <w:r w:rsidRPr="00B803BB">
        <w:rPr>
          <w:lang w:val="en-US"/>
        </w:rPr>
        <w:t>While the ASX, ASIC (Australian Security and Investments Commission) and the Australian laws work together to protect participants, many factors may affect the price of shares. Timing may also be a factor in how well a share investment may perform. For example, purchasing shares when shares are at a high and selling them when they fall may lead to a realised loss. Conversely, purchasing when shares prices are low and selling them when they are high will lead to a realised profit. It is therefore important to research, invest in a variety of companies and industries (diversify), have some basic economic understanding, and use company graphs to make predictions about how a company’s shares may perform.</w:t>
      </w:r>
    </w:p>
    <w:p w14:paraId="7B54C45E" w14:textId="77777777" w:rsidR="00B803BB" w:rsidRPr="00B803BB" w:rsidRDefault="00B803BB" w:rsidP="00A92E45">
      <w:pPr>
        <w:pStyle w:val="Heading1"/>
      </w:pPr>
      <w:r w:rsidRPr="00B803BB">
        <w:lastRenderedPageBreak/>
        <w:t xml:space="preserve">Activity 2 </w:t>
      </w:r>
    </w:p>
    <w:p w14:paraId="7DFE404F" w14:textId="77777777" w:rsidR="00B803BB" w:rsidRPr="00B803BB" w:rsidRDefault="00B803BB" w:rsidP="00B803BB">
      <w:pPr>
        <w:rPr>
          <w:lang w:val="en-US"/>
        </w:rPr>
      </w:pPr>
      <w:r w:rsidRPr="00B803BB">
        <w:rPr>
          <w:lang w:val="en-US"/>
        </w:rPr>
        <w:t xml:space="preserve">Not only is ASX a nationally recognised market place for buying and selling shares, it is also a registered company on the ASX. </w:t>
      </w:r>
    </w:p>
    <w:p w14:paraId="1DF601C6" w14:textId="77777777" w:rsidR="00B803BB" w:rsidRPr="00B803BB" w:rsidRDefault="00B803BB" w:rsidP="00B803BB">
      <w:pPr>
        <w:rPr>
          <w:i/>
        </w:rPr>
      </w:pPr>
      <w:r w:rsidRPr="00B803BB">
        <w:rPr>
          <w:i/>
        </w:rPr>
        <w:t>The ASX monthly share price chart and table, December 2021 to December 2022.</w:t>
      </w:r>
    </w:p>
    <w:p w14:paraId="01AED224" w14:textId="6F169D8A" w:rsidR="00B803BB" w:rsidRPr="00B803BB" w:rsidRDefault="00B803BB" w:rsidP="00B803BB">
      <w:pPr>
        <w:rPr>
          <w:i/>
        </w:rPr>
      </w:pPr>
      <w:r w:rsidRPr="00B803BB">
        <w:rPr>
          <w:noProof/>
        </w:rPr>
        <w:drawing>
          <wp:inline distT="0" distB="0" distL="0" distR="0" wp14:anchorId="6F76D976" wp14:editId="02F93FE2">
            <wp:extent cx="5038725" cy="4114800"/>
            <wp:effectExtent l="0" t="0" r="9525" b="0"/>
            <wp:docPr id="1545287472" name="Picture 9" descr="A graph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87472" name="Picture 9" descr="A graph with blue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4114800"/>
                    </a:xfrm>
                    <a:prstGeom prst="rect">
                      <a:avLst/>
                    </a:prstGeom>
                    <a:noFill/>
                    <a:ln>
                      <a:noFill/>
                    </a:ln>
                  </pic:spPr>
                </pic:pic>
              </a:graphicData>
            </a:graphic>
          </wp:inline>
        </w:drawing>
      </w:r>
    </w:p>
    <w:p w14:paraId="2AC04DF3" w14:textId="77777777" w:rsidR="00B803BB" w:rsidRPr="00B803BB" w:rsidRDefault="00B803BB" w:rsidP="00B803BB">
      <w:pPr>
        <w:rPr>
          <w:i/>
        </w:rPr>
      </w:pPr>
    </w:p>
    <w:tbl>
      <w:tblPr>
        <w:tblStyle w:val="ASXTable"/>
        <w:tblW w:w="5000" w:type="pct"/>
        <w:tblLook w:val="04A0" w:firstRow="1" w:lastRow="0" w:firstColumn="1" w:lastColumn="0" w:noHBand="0" w:noVBand="1"/>
      </w:tblPr>
      <w:tblGrid>
        <w:gridCol w:w="852"/>
        <w:gridCol w:w="719"/>
        <w:gridCol w:w="719"/>
        <w:gridCol w:w="721"/>
        <w:gridCol w:w="719"/>
        <w:gridCol w:w="719"/>
        <w:gridCol w:w="721"/>
        <w:gridCol w:w="719"/>
        <w:gridCol w:w="721"/>
        <w:gridCol w:w="718"/>
        <w:gridCol w:w="718"/>
        <w:gridCol w:w="720"/>
        <w:gridCol w:w="718"/>
        <w:gridCol w:w="720"/>
      </w:tblGrid>
      <w:tr w:rsidR="00BC18EB" w:rsidRPr="00B803BB" w14:paraId="36B6B1C1" w14:textId="77777777" w:rsidTr="00BC18EB">
        <w:trPr>
          <w:cnfStyle w:val="100000000000" w:firstRow="1" w:lastRow="0" w:firstColumn="0" w:lastColumn="0" w:oddVBand="0" w:evenVBand="0" w:oddHBand="0" w:evenHBand="0" w:firstRowFirstColumn="0" w:firstRowLastColumn="0" w:lastRowFirstColumn="0" w:lastRowLastColumn="0"/>
        </w:trPr>
        <w:tc>
          <w:tcPr>
            <w:tcW w:w="417" w:type="pct"/>
            <w:tcBorders>
              <w:bottom w:val="single" w:sz="4" w:space="0" w:color="auto"/>
            </w:tcBorders>
            <w:hideMark/>
          </w:tcPr>
          <w:p w14:paraId="2E7B36D3" w14:textId="77777777" w:rsidR="00B803BB" w:rsidRPr="00B803BB" w:rsidRDefault="00B803BB" w:rsidP="00B803BB">
            <w:r w:rsidRPr="00B803BB">
              <w:t xml:space="preserve">Date </w:t>
            </w:r>
          </w:p>
        </w:tc>
        <w:tc>
          <w:tcPr>
            <w:tcW w:w="352" w:type="pct"/>
            <w:tcBorders>
              <w:bottom w:val="single" w:sz="4" w:space="0" w:color="auto"/>
            </w:tcBorders>
            <w:hideMark/>
          </w:tcPr>
          <w:p w14:paraId="47F31B70" w14:textId="77777777" w:rsidR="00B803BB" w:rsidRPr="00B803BB" w:rsidRDefault="00B803BB" w:rsidP="00B803BB">
            <w:r w:rsidRPr="00B803BB">
              <w:t>Dec 21</w:t>
            </w:r>
          </w:p>
        </w:tc>
        <w:tc>
          <w:tcPr>
            <w:tcW w:w="352" w:type="pct"/>
            <w:tcBorders>
              <w:bottom w:val="single" w:sz="4" w:space="0" w:color="auto"/>
            </w:tcBorders>
            <w:hideMark/>
          </w:tcPr>
          <w:p w14:paraId="547068E9" w14:textId="77777777" w:rsidR="00B803BB" w:rsidRPr="00B803BB" w:rsidRDefault="00B803BB" w:rsidP="00B803BB">
            <w:r w:rsidRPr="00B803BB">
              <w:t>Jan 22</w:t>
            </w:r>
          </w:p>
        </w:tc>
        <w:tc>
          <w:tcPr>
            <w:tcW w:w="353" w:type="pct"/>
            <w:tcBorders>
              <w:bottom w:val="single" w:sz="4" w:space="0" w:color="auto"/>
            </w:tcBorders>
            <w:hideMark/>
          </w:tcPr>
          <w:p w14:paraId="77758896" w14:textId="77777777" w:rsidR="00B803BB" w:rsidRPr="00B803BB" w:rsidRDefault="00B803BB" w:rsidP="00B803BB">
            <w:r w:rsidRPr="00B803BB">
              <w:t>Feb 22</w:t>
            </w:r>
          </w:p>
        </w:tc>
        <w:tc>
          <w:tcPr>
            <w:tcW w:w="352" w:type="pct"/>
            <w:tcBorders>
              <w:bottom w:val="single" w:sz="4" w:space="0" w:color="auto"/>
            </w:tcBorders>
            <w:hideMark/>
          </w:tcPr>
          <w:p w14:paraId="7305C971" w14:textId="77777777" w:rsidR="00B803BB" w:rsidRPr="00B803BB" w:rsidRDefault="00B803BB" w:rsidP="00B803BB">
            <w:r w:rsidRPr="00B803BB">
              <w:t>Mar 22</w:t>
            </w:r>
          </w:p>
        </w:tc>
        <w:tc>
          <w:tcPr>
            <w:tcW w:w="352" w:type="pct"/>
            <w:tcBorders>
              <w:bottom w:val="single" w:sz="4" w:space="0" w:color="auto"/>
            </w:tcBorders>
            <w:hideMark/>
          </w:tcPr>
          <w:p w14:paraId="400DE412" w14:textId="77777777" w:rsidR="00B803BB" w:rsidRPr="00B803BB" w:rsidRDefault="00B803BB" w:rsidP="00B803BB">
            <w:r w:rsidRPr="00B803BB">
              <w:t>Apr 22</w:t>
            </w:r>
          </w:p>
        </w:tc>
        <w:tc>
          <w:tcPr>
            <w:tcW w:w="353" w:type="pct"/>
            <w:tcBorders>
              <w:bottom w:val="single" w:sz="4" w:space="0" w:color="auto"/>
            </w:tcBorders>
            <w:hideMark/>
          </w:tcPr>
          <w:p w14:paraId="6FF34F4B" w14:textId="77777777" w:rsidR="00B803BB" w:rsidRPr="00B803BB" w:rsidRDefault="00B803BB" w:rsidP="00B803BB">
            <w:r w:rsidRPr="00B803BB">
              <w:t>May 22</w:t>
            </w:r>
          </w:p>
        </w:tc>
        <w:tc>
          <w:tcPr>
            <w:tcW w:w="352" w:type="pct"/>
            <w:tcBorders>
              <w:bottom w:val="single" w:sz="4" w:space="0" w:color="auto"/>
            </w:tcBorders>
            <w:hideMark/>
          </w:tcPr>
          <w:p w14:paraId="6435D865" w14:textId="77777777" w:rsidR="00B803BB" w:rsidRPr="00B803BB" w:rsidRDefault="00B803BB" w:rsidP="00B803BB">
            <w:r w:rsidRPr="00B803BB">
              <w:t>Jun 22</w:t>
            </w:r>
          </w:p>
        </w:tc>
        <w:tc>
          <w:tcPr>
            <w:tcW w:w="353" w:type="pct"/>
            <w:tcBorders>
              <w:bottom w:val="single" w:sz="4" w:space="0" w:color="auto"/>
            </w:tcBorders>
            <w:hideMark/>
          </w:tcPr>
          <w:p w14:paraId="00BB871E" w14:textId="77777777" w:rsidR="00B803BB" w:rsidRPr="00B803BB" w:rsidRDefault="00B803BB" w:rsidP="00B803BB">
            <w:r w:rsidRPr="00B803BB">
              <w:t>Jul 22</w:t>
            </w:r>
          </w:p>
        </w:tc>
        <w:tc>
          <w:tcPr>
            <w:tcW w:w="352" w:type="pct"/>
            <w:tcBorders>
              <w:bottom w:val="single" w:sz="4" w:space="0" w:color="auto"/>
            </w:tcBorders>
            <w:hideMark/>
          </w:tcPr>
          <w:p w14:paraId="353B3702" w14:textId="77777777" w:rsidR="00B803BB" w:rsidRPr="00B803BB" w:rsidRDefault="00B803BB" w:rsidP="00B803BB">
            <w:r w:rsidRPr="00B803BB">
              <w:t>Aug 22</w:t>
            </w:r>
          </w:p>
        </w:tc>
        <w:tc>
          <w:tcPr>
            <w:tcW w:w="352" w:type="pct"/>
            <w:tcBorders>
              <w:bottom w:val="single" w:sz="4" w:space="0" w:color="auto"/>
            </w:tcBorders>
            <w:hideMark/>
          </w:tcPr>
          <w:p w14:paraId="3BBA088B" w14:textId="77777777" w:rsidR="00B803BB" w:rsidRPr="00B803BB" w:rsidRDefault="00B803BB" w:rsidP="00B803BB">
            <w:r w:rsidRPr="00B803BB">
              <w:t>Sep 22</w:t>
            </w:r>
          </w:p>
        </w:tc>
        <w:tc>
          <w:tcPr>
            <w:tcW w:w="353" w:type="pct"/>
            <w:tcBorders>
              <w:bottom w:val="single" w:sz="4" w:space="0" w:color="auto"/>
            </w:tcBorders>
            <w:hideMark/>
          </w:tcPr>
          <w:p w14:paraId="6AE6800B" w14:textId="77777777" w:rsidR="00B803BB" w:rsidRPr="00B803BB" w:rsidRDefault="00B803BB" w:rsidP="00B803BB">
            <w:r w:rsidRPr="00B803BB">
              <w:t>Oct 22</w:t>
            </w:r>
          </w:p>
        </w:tc>
        <w:tc>
          <w:tcPr>
            <w:tcW w:w="352" w:type="pct"/>
            <w:tcBorders>
              <w:bottom w:val="single" w:sz="4" w:space="0" w:color="auto"/>
            </w:tcBorders>
            <w:hideMark/>
          </w:tcPr>
          <w:p w14:paraId="27CB095A" w14:textId="77777777" w:rsidR="00B803BB" w:rsidRPr="00B803BB" w:rsidRDefault="00B803BB" w:rsidP="00B803BB">
            <w:r w:rsidRPr="00B803BB">
              <w:t>Nov 22</w:t>
            </w:r>
          </w:p>
        </w:tc>
        <w:tc>
          <w:tcPr>
            <w:tcW w:w="353" w:type="pct"/>
            <w:tcBorders>
              <w:bottom w:val="single" w:sz="4" w:space="0" w:color="auto"/>
            </w:tcBorders>
            <w:hideMark/>
          </w:tcPr>
          <w:p w14:paraId="33329624" w14:textId="77777777" w:rsidR="00B803BB" w:rsidRPr="00B803BB" w:rsidRDefault="00B803BB" w:rsidP="00B803BB">
            <w:r w:rsidRPr="00B803BB">
              <w:t>Dec 22</w:t>
            </w:r>
          </w:p>
        </w:tc>
      </w:tr>
      <w:tr w:rsidR="00B803BB" w:rsidRPr="00B803BB" w14:paraId="3B62868F" w14:textId="77777777" w:rsidTr="00BC18EB">
        <w:tc>
          <w:tcPr>
            <w:tcW w:w="417" w:type="pct"/>
            <w:tcBorders>
              <w:top w:val="single" w:sz="4" w:space="0" w:color="auto"/>
              <w:left w:val="single" w:sz="4" w:space="0" w:color="auto"/>
              <w:bottom w:val="single" w:sz="4" w:space="0" w:color="auto"/>
              <w:right w:val="single" w:sz="4" w:space="0" w:color="auto"/>
            </w:tcBorders>
            <w:hideMark/>
          </w:tcPr>
          <w:p w14:paraId="19CE0851" w14:textId="77777777" w:rsidR="00B803BB" w:rsidRPr="00B803BB" w:rsidRDefault="00B803BB" w:rsidP="00B803BB">
            <w:r w:rsidRPr="00B803BB">
              <w:t>Closing share price ($)</w:t>
            </w:r>
          </w:p>
        </w:tc>
        <w:tc>
          <w:tcPr>
            <w:tcW w:w="352" w:type="pct"/>
            <w:tcBorders>
              <w:top w:val="single" w:sz="4" w:space="0" w:color="auto"/>
              <w:left w:val="single" w:sz="4" w:space="0" w:color="auto"/>
              <w:bottom w:val="single" w:sz="4" w:space="0" w:color="auto"/>
              <w:right w:val="single" w:sz="4" w:space="0" w:color="auto"/>
            </w:tcBorders>
          </w:tcPr>
          <w:p w14:paraId="1021BEAE" w14:textId="77777777" w:rsidR="00B803BB" w:rsidRPr="00B803BB" w:rsidRDefault="00B803BB" w:rsidP="00B803BB"/>
        </w:tc>
        <w:tc>
          <w:tcPr>
            <w:tcW w:w="352" w:type="pct"/>
            <w:tcBorders>
              <w:top w:val="single" w:sz="4" w:space="0" w:color="auto"/>
              <w:left w:val="single" w:sz="4" w:space="0" w:color="auto"/>
              <w:bottom w:val="single" w:sz="4" w:space="0" w:color="auto"/>
              <w:right w:val="single" w:sz="4" w:space="0" w:color="auto"/>
            </w:tcBorders>
          </w:tcPr>
          <w:p w14:paraId="799CD5F9" w14:textId="77777777" w:rsidR="00B803BB" w:rsidRPr="00B803BB" w:rsidRDefault="00B803BB" w:rsidP="00B803BB"/>
        </w:tc>
        <w:tc>
          <w:tcPr>
            <w:tcW w:w="353" w:type="pct"/>
            <w:tcBorders>
              <w:top w:val="single" w:sz="4" w:space="0" w:color="auto"/>
              <w:left w:val="single" w:sz="4" w:space="0" w:color="auto"/>
              <w:bottom w:val="single" w:sz="4" w:space="0" w:color="auto"/>
              <w:right w:val="single" w:sz="4" w:space="0" w:color="auto"/>
            </w:tcBorders>
          </w:tcPr>
          <w:p w14:paraId="10C9BD93" w14:textId="77777777" w:rsidR="00B803BB" w:rsidRPr="00B803BB" w:rsidRDefault="00B803BB" w:rsidP="00B803BB"/>
        </w:tc>
        <w:tc>
          <w:tcPr>
            <w:tcW w:w="352" w:type="pct"/>
            <w:tcBorders>
              <w:top w:val="single" w:sz="4" w:space="0" w:color="auto"/>
              <w:left w:val="single" w:sz="4" w:space="0" w:color="auto"/>
              <w:bottom w:val="single" w:sz="4" w:space="0" w:color="auto"/>
              <w:right w:val="single" w:sz="4" w:space="0" w:color="auto"/>
            </w:tcBorders>
          </w:tcPr>
          <w:p w14:paraId="267A7DA8" w14:textId="77777777" w:rsidR="00B803BB" w:rsidRPr="00B803BB" w:rsidRDefault="00B803BB" w:rsidP="00B803BB"/>
        </w:tc>
        <w:tc>
          <w:tcPr>
            <w:tcW w:w="352" w:type="pct"/>
            <w:tcBorders>
              <w:top w:val="single" w:sz="4" w:space="0" w:color="auto"/>
              <w:left w:val="single" w:sz="4" w:space="0" w:color="auto"/>
              <w:bottom w:val="single" w:sz="4" w:space="0" w:color="auto"/>
              <w:right w:val="single" w:sz="4" w:space="0" w:color="auto"/>
            </w:tcBorders>
          </w:tcPr>
          <w:p w14:paraId="443353EC" w14:textId="77777777" w:rsidR="00B803BB" w:rsidRPr="00B803BB" w:rsidRDefault="00B803BB" w:rsidP="00B803BB"/>
        </w:tc>
        <w:tc>
          <w:tcPr>
            <w:tcW w:w="353" w:type="pct"/>
            <w:tcBorders>
              <w:top w:val="single" w:sz="4" w:space="0" w:color="auto"/>
              <w:left w:val="single" w:sz="4" w:space="0" w:color="auto"/>
              <w:bottom w:val="single" w:sz="4" w:space="0" w:color="auto"/>
              <w:right w:val="single" w:sz="4" w:space="0" w:color="auto"/>
            </w:tcBorders>
          </w:tcPr>
          <w:p w14:paraId="00275FED" w14:textId="77777777" w:rsidR="00B803BB" w:rsidRPr="00B803BB" w:rsidRDefault="00B803BB" w:rsidP="00B803BB"/>
        </w:tc>
        <w:tc>
          <w:tcPr>
            <w:tcW w:w="352" w:type="pct"/>
            <w:tcBorders>
              <w:top w:val="single" w:sz="4" w:space="0" w:color="auto"/>
              <w:left w:val="single" w:sz="4" w:space="0" w:color="auto"/>
              <w:bottom w:val="single" w:sz="4" w:space="0" w:color="auto"/>
              <w:right w:val="single" w:sz="4" w:space="0" w:color="auto"/>
            </w:tcBorders>
          </w:tcPr>
          <w:p w14:paraId="0197BCC0" w14:textId="77777777" w:rsidR="00B803BB" w:rsidRPr="00B803BB" w:rsidRDefault="00B803BB" w:rsidP="00B803BB"/>
        </w:tc>
        <w:tc>
          <w:tcPr>
            <w:tcW w:w="353" w:type="pct"/>
            <w:tcBorders>
              <w:top w:val="single" w:sz="4" w:space="0" w:color="auto"/>
              <w:left w:val="single" w:sz="4" w:space="0" w:color="auto"/>
              <w:bottom w:val="single" w:sz="4" w:space="0" w:color="auto"/>
              <w:right w:val="single" w:sz="4" w:space="0" w:color="auto"/>
            </w:tcBorders>
          </w:tcPr>
          <w:p w14:paraId="3530C754" w14:textId="77777777" w:rsidR="00B803BB" w:rsidRPr="00B803BB" w:rsidRDefault="00B803BB" w:rsidP="00B803BB"/>
        </w:tc>
        <w:tc>
          <w:tcPr>
            <w:tcW w:w="352" w:type="pct"/>
            <w:tcBorders>
              <w:top w:val="single" w:sz="4" w:space="0" w:color="auto"/>
              <w:left w:val="single" w:sz="4" w:space="0" w:color="auto"/>
              <w:bottom w:val="single" w:sz="4" w:space="0" w:color="auto"/>
              <w:right w:val="single" w:sz="4" w:space="0" w:color="auto"/>
            </w:tcBorders>
          </w:tcPr>
          <w:p w14:paraId="2B5B9E7F" w14:textId="77777777" w:rsidR="00B803BB" w:rsidRPr="00B803BB" w:rsidRDefault="00B803BB" w:rsidP="00B803BB"/>
        </w:tc>
        <w:tc>
          <w:tcPr>
            <w:tcW w:w="352" w:type="pct"/>
            <w:tcBorders>
              <w:top w:val="single" w:sz="4" w:space="0" w:color="auto"/>
              <w:left w:val="single" w:sz="4" w:space="0" w:color="auto"/>
              <w:bottom w:val="single" w:sz="4" w:space="0" w:color="auto"/>
              <w:right w:val="single" w:sz="4" w:space="0" w:color="auto"/>
            </w:tcBorders>
          </w:tcPr>
          <w:p w14:paraId="74DC370A" w14:textId="77777777" w:rsidR="00B803BB" w:rsidRPr="00B803BB" w:rsidRDefault="00B803BB" w:rsidP="00B803BB"/>
        </w:tc>
        <w:tc>
          <w:tcPr>
            <w:tcW w:w="353" w:type="pct"/>
            <w:tcBorders>
              <w:top w:val="single" w:sz="4" w:space="0" w:color="auto"/>
              <w:left w:val="single" w:sz="4" w:space="0" w:color="auto"/>
              <w:bottom w:val="single" w:sz="4" w:space="0" w:color="auto"/>
              <w:right w:val="single" w:sz="4" w:space="0" w:color="auto"/>
            </w:tcBorders>
          </w:tcPr>
          <w:p w14:paraId="3F3870B8" w14:textId="77777777" w:rsidR="00B803BB" w:rsidRPr="00B803BB" w:rsidRDefault="00B803BB" w:rsidP="00B803BB"/>
        </w:tc>
        <w:tc>
          <w:tcPr>
            <w:tcW w:w="352" w:type="pct"/>
            <w:tcBorders>
              <w:top w:val="single" w:sz="4" w:space="0" w:color="auto"/>
              <w:left w:val="single" w:sz="4" w:space="0" w:color="auto"/>
              <w:bottom w:val="single" w:sz="4" w:space="0" w:color="auto"/>
              <w:right w:val="single" w:sz="4" w:space="0" w:color="auto"/>
            </w:tcBorders>
          </w:tcPr>
          <w:p w14:paraId="734926DF" w14:textId="77777777" w:rsidR="00B803BB" w:rsidRPr="00B803BB" w:rsidRDefault="00B803BB" w:rsidP="00B803BB"/>
        </w:tc>
        <w:tc>
          <w:tcPr>
            <w:tcW w:w="353" w:type="pct"/>
            <w:tcBorders>
              <w:top w:val="single" w:sz="4" w:space="0" w:color="auto"/>
              <w:left w:val="single" w:sz="4" w:space="0" w:color="auto"/>
              <w:bottom w:val="single" w:sz="4" w:space="0" w:color="auto"/>
              <w:right w:val="single" w:sz="4" w:space="0" w:color="auto"/>
            </w:tcBorders>
          </w:tcPr>
          <w:p w14:paraId="586525A8" w14:textId="77777777" w:rsidR="00B803BB" w:rsidRPr="00B803BB" w:rsidRDefault="00B803BB" w:rsidP="00B803BB"/>
        </w:tc>
      </w:tr>
    </w:tbl>
    <w:p w14:paraId="4DD0DE56" w14:textId="77777777" w:rsidR="00B803BB" w:rsidRPr="00B803BB" w:rsidRDefault="00B803BB" w:rsidP="00B803BB">
      <w:pPr>
        <w:numPr>
          <w:ilvl w:val="0"/>
          <w:numId w:val="5"/>
        </w:numPr>
        <w:rPr>
          <w:b/>
          <w:bCs/>
          <w:iCs/>
        </w:rPr>
      </w:pPr>
    </w:p>
    <w:p w14:paraId="60EE6088" w14:textId="77777777" w:rsidR="00B803BB" w:rsidRPr="00B803BB" w:rsidRDefault="00B803BB" w:rsidP="00A92E45">
      <w:pPr>
        <w:rPr>
          <w:lang w:val="en-US"/>
        </w:rPr>
      </w:pPr>
      <w:r w:rsidRPr="00B803BB">
        <w:rPr>
          <w:lang w:val="en-US"/>
        </w:rPr>
        <w:t>Using the information in the above table and chart, which tracks the share price history for ASX from December 2021 to December 2022, answer the following questions:</w:t>
      </w:r>
    </w:p>
    <w:p w14:paraId="33FA32B3" w14:textId="3120FA6D" w:rsidR="00B803BB" w:rsidRPr="00B803BB" w:rsidRDefault="00B803BB" w:rsidP="00616321">
      <w:pPr>
        <w:pStyle w:val="ListParagraph"/>
        <w:numPr>
          <w:ilvl w:val="5"/>
          <w:numId w:val="5"/>
        </w:numPr>
      </w:pPr>
      <w:r w:rsidRPr="00616321">
        <w:rPr>
          <w:b/>
          <w:u w:val="single"/>
        </w:rPr>
        <w:t>Calculate</w:t>
      </w:r>
      <w:r w:rsidRPr="00B803BB">
        <w:t xml:space="preserve"> the profit/loss in dollars and cents if 1000 ASX shares were purchased on 1 December 2021 and you then sold them on 1 December 2022?</w:t>
      </w:r>
    </w:p>
    <w:tbl>
      <w:tblPr>
        <w:tblStyle w:val="ASXTable"/>
        <w:tblW w:w="5000" w:type="pct"/>
        <w:tblBorders>
          <w:top w:val="single" w:sz="4" w:space="0" w:color="auto"/>
        </w:tblBorders>
        <w:tblLook w:val="0400" w:firstRow="0" w:lastRow="0" w:firstColumn="0" w:lastColumn="0" w:noHBand="0" w:noVBand="1"/>
      </w:tblPr>
      <w:tblGrid>
        <w:gridCol w:w="5102"/>
        <w:gridCol w:w="5102"/>
      </w:tblGrid>
      <w:tr w:rsidR="00616321" w:rsidRPr="00931DE6" w14:paraId="2E108BA9" w14:textId="77777777" w:rsidTr="00616321">
        <w:trPr>
          <w:trHeight w:val="20"/>
        </w:trPr>
        <w:tc>
          <w:tcPr>
            <w:tcW w:w="2500" w:type="pct"/>
          </w:tcPr>
          <w:p w14:paraId="605F52CD" w14:textId="77777777" w:rsidR="00616321" w:rsidRPr="00931DE6" w:rsidRDefault="00616321" w:rsidP="00B301CD">
            <w:pPr>
              <w:spacing w:before="60" w:after="60" w:line="240" w:lineRule="auto"/>
            </w:pPr>
          </w:p>
        </w:tc>
        <w:tc>
          <w:tcPr>
            <w:tcW w:w="2500" w:type="pct"/>
          </w:tcPr>
          <w:p w14:paraId="43F87796" w14:textId="77777777" w:rsidR="00616321" w:rsidRPr="00931DE6" w:rsidRDefault="00616321" w:rsidP="00B301CD">
            <w:pPr>
              <w:spacing w:before="60" w:after="60" w:line="240" w:lineRule="auto"/>
            </w:pPr>
          </w:p>
        </w:tc>
      </w:tr>
      <w:tr w:rsidR="00616321" w:rsidRPr="00931DE6" w14:paraId="29EE1654" w14:textId="77777777" w:rsidTr="00616321">
        <w:trPr>
          <w:trHeight w:val="20"/>
        </w:trPr>
        <w:tc>
          <w:tcPr>
            <w:tcW w:w="2500" w:type="pct"/>
          </w:tcPr>
          <w:p w14:paraId="4BCAA7E3" w14:textId="77777777" w:rsidR="00616321" w:rsidRPr="00931DE6" w:rsidRDefault="00616321" w:rsidP="00B301CD">
            <w:pPr>
              <w:spacing w:before="60" w:after="60" w:line="240" w:lineRule="auto"/>
            </w:pPr>
          </w:p>
        </w:tc>
        <w:tc>
          <w:tcPr>
            <w:tcW w:w="2500" w:type="pct"/>
          </w:tcPr>
          <w:p w14:paraId="389792F8" w14:textId="77777777" w:rsidR="00616321" w:rsidRPr="00931DE6" w:rsidRDefault="00616321" w:rsidP="00B301CD">
            <w:pPr>
              <w:spacing w:before="60" w:after="60" w:line="240" w:lineRule="auto"/>
            </w:pPr>
          </w:p>
        </w:tc>
      </w:tr>
    </w:tbl>
    <w:p w14:paraId="30C3400C" w14:textId="77777777" w:rsidR="00B803BB" w:rsidRPr="00B803BB" w:rsidRDefault="00B803BB" w:rsidP="00B803BB"/>
    <w:p w14:paraId="4D7CD1BE" w14:textId="5CCD0E2B" w:rsidR="00B803BB" w:rsidRDefault="00B803BB" w:rsidP="00616321">
      <w:pPr>
        <w:pStyle w:val="ListParagraph"/>
        <w:numPr>
          <w:ilvl w:val="5"/>
          <w:numId w:val="5"/>
        </w:numPr>
      </w:pPr>
      <w:r w:rsidRPr="00616321">
        <w:rPr>
          <w:b/>
          <w:u w:val="single"/>
        </w:rPr>
        <w:t>Calculate</w:t>
      </w:r>
      <w:r w:rsidRPr="00B803BB">
        <w:t xml:space="preserve"> the percentage of profit/loss based on the purchase of 1000 ASX shares were purchased on 1 December 2021 and sold on 1 December 2022?  (Answer to one decimal point).</w:t>
      </w:r>
    </w:p>
    <w:tbl>
      <w:tblPr>
        <w:tblStyle w:val="ASXTable"/>
        <w:tblW w:w="5000" w:type="pct"/>
        <w:tblBorders>
          <w:top w:val="single" w:sz="4" w:space="0" w:color="auto"/>
        </w:tblBorders>
        <w:tblLook w:val="0400" w:firstRow="0" w:lastRow="0" w:firstColumn="0" w:lastColumn="0" w:noHBand="0" w:noVBand="1"/>
      </w:tblPr>
      <w:tblGrid>
        <w:gridCol w:w="5102"/>
        <w:gridCol w:w="5102"/>
      </w:tblGrid>
      <w:tr w:rsidR="00616321" w:rsidRPr="00931DE6" w14:paraId="78EF5544" w14:textId="77777777" w:rsidTr="00B301CD">
        <w:trPr>
          <w:trHeight w:val="20"/>
        </w:trPr>
        <w:tc>
          <w:tcPr>
            <w:tcW w:w="2500" w:type="pct"/>
          </w:tcPr>
          <w:p w14:paraId="24FD68F1" w14:textId="77777777" w:rsidR="00616321" w:rsidRPr="00931DE6" w:rsidRDefault="00616321" w:rsidP="00B301CD">
            <w:pPr>
              <w:spacing w:before="60" w:after="60" w:line="240" w:lineRule="auto"/>
            </w:pPr>
          </w:p>
        </w:tc>
        <w:tc>
          <w:tcPr>
            <w:tcW w:w="2500" w:type="pct"/>
          </w:tcPr>
          <w:p w14:paraId="28AFBCEB" w14:textId="77777777" w:rsidR="00616321" w:rsidRPr="00931DE6" w:rsidRDefault="00616321" w:rsidP="00B301CD">
            <w:pPr>
              <w:spacing w:before="60" w:after="60" w:line="240" w:lineRule="auto"/>
            </w:pPr>
          </w:p>
        </w:tc>
      </w:tr>
      <w:tr w:rsidR="00616321" w:rsidRPr="00931DE6" w14:paraId="1CC9A96C" w14:textId="77777777" w:rsidTr="00B301CD">
        <w:trPr>
          <w:trHeight w:val="20"/>
        </w:trPr>
        <w:tc>
          <w:tcPr>
            <w:tcW w:w="2500" w:type="pct"/>
          </w:tcPr>
          <w:p w14:paraId="2838D81A" w14:textId="77777777" w:rsidR="00616321" w:rsidRPr="00931DE6" w:rsidRDefault="00616321" w:rsidP="00B301CD">
            <w:pPr>
              <w:spacing w:before="60" w:after="60" w:line="240" w:lineRule="auto"/>
            </w:pPr>
          </w:p>
        </w:tc>
        <w:tc>
          <w:tcPr>
            <w:tcW w:w="2500" w:type="pct"/>
          </w:tcPr>
          <w:p w14:paraId="27C71DA9" w14:textId="77777777" w:rsidR="00616321" w:rsidRPr="00931DE6" w:rsidRDefault="00616321" w:rsidP="00B301CD">
            <w:pPr>
              <w:spacing w:before="60" w:after="60" w:line="240" w:lineRule="auto"/>
            </w:pPr>
          </w:p>
        </w:tc>
      </w:tr>
    </w:tbl>
    <w:p w14:paraId="5EB29FF8" w14:textId="1A4CCC13" w:rsidR="00616321" w:rsidRDefault="00616321" w:rsidP="00616321">
      <w:pPr>
        <w:pStyle w:val="ListParagraph"/>
        <w:ind w:left="340"/>
      </w:pPr>
    </w:p>
    <w:p w14:paraId="0F3DC4EE" w14:textId="77777777" w:rsidR="00616321" w:rsidRDefault="00616321">
      <w:pPr>
        <w:adjustRightInd/>
        <w:snapToGrid/>
        <w:spacing w:after="0" w:line="240" w:lineRule="auto"/>
      </w:pPr>
      <w:r>
        <w:br w:type="page"/>
      </w:r>
    </w:p>
    <w:p w14:paraId="5171EAE2" w14:textId="77777777" w:rsidR="00616321" w:rsidRPr="00B803BB" w:rsidRDefault="00616321" w:rsidP="00616321">
      <w:pPr>
        <w:pStyle w:val="ListParagraph"/>
        <w:ind w:left="340"/>
      </w:pPr>
    </w:p>
    <w:p w14:paraId="336D090F" w14:textId="616A1D53" w:rsidR="00B803BB" w:rsidRDefault="00B803BB" w:rsidP="00616321">
      <w:pPr>
        <w:pStyle w:val="ListParagraph"/>
        <w:numPr>
          <w:ilvl w:val="5"/>
          <w:numId w:val="5"/>
        </w:numPr>
      </w:pPr>
      <w:r w:rsidRPr="00B803BB">
        <w:t xml:space="preserve">During 2021 ASX paid two dividends. In March it paid $ 1.12 per share and in September paid $1.11 per share. </w:t>
      </w:r>
      <w:r w:rsidRPr="00B803BB">
        <w:br/>
        <w:t xml:space="preserve">If 200 ASX shares are held, </w:t>
      </w:r>
      <w:r w:rsidRPr="00616321">
        <w:rPr>
          <w:b/>
          <w:bCs/>
          <w:u w:val="single"/>
        </w:rPr>
        <w:t xml:space="preserve">calculate </w:t>
      </w:r>
      <w:r w:rsidRPr="00B803BB">
        <w:t>how much dividend income would have been received in 2021 in total?</w:t>
      </w:r>
    </w:p>
    <w:tbl>
      <w:tblPr>
        <w:tblStyle w:val="ASXTable"/>
        <w:tblW w:w="5000" w:type="pct"/>
        <w:tblBorders>
          <w:top w:val="single" w:sz="4" w:space="0" w:color="auto"/>
        </w:tblBorders>
        <w:tblLook w:val="0400" w:firstRow="0" w:lastRow="0" w:firstColumn="0" w:lastColumn="0" w:noHBand="0" w:noVBand="1"/>
      </w:tblPr>
      <w:tblGrid>
        <w:gridCol w:w="5102"/>
        <w:gridCol w:w="5102"/>
      </w:tblGrid>
      <w:tr w:rsidR="00616321" w:rsidRPr="00931DE6" w14:paraId="2DAD0B62" w14:textId="77777777" w:rsidTr="00B301CD">
        <w:trPr>
          <w:trHeight w:val="20"/>
        </w:trPr>
        <w:tc>
          <w:tcPr>
            <w:tcW w:w="2500" w:type="pct"/>
          </w:tcPr>
          <w:p w14:paraId="7D6F1CDB" w14:textId="77777777" w:rsidR="00616321" w:rsidRPr="00931DE6" w:rsidRDefault="00616321" w:rsidP="00B301CD">
            <w:pPr>
              <w:spacing w:before="60" w:after="60" w:line="240" w:lineRule="auto"/>
            </w:pPr>
          </w:p>
        </w:tc>
        <w:tc>
          <w:tcPr>
            <w:tcW w:w="2500" w:type="pct"/>
          </w:tcPr>
          <w:p w14:paraId="2AB2EFFA" w14:textId="77777777" w:rsidR="00616321" w:rsidRPr="00931DE6" w:rsidRDefault="00616321" w:rsidP="00B301CD">
            <w:pPr>
              <w:spacing w:before="60" w:after="60" w:line="240" w:lineRule="auto"/>
            </w:pPr>
          </w:p>
        </w:tc>
      </w:tr>
      <w:tr w:rsidR="00616321" w:rsidRPr="00931DE6" w14:paraId="22207435" w14:textId="77777777" w:rsidTr="00B301CD">
        <w:trPr>
          <w:trHeight w:val="20"/>
        </w:trPr>
        <w:tc>
          <w:tcPr>
            <w:tcW w:w="2500" w:type="pct"/>
          </w:tcPr>
          <w:p w14:paraId="629A85F7" w14:textId="77777777" w:rsidR="00616321" w:rsidRPr="00931DE6" w:rsidRDefault="00616321" w:rsidP="00B301CD">
            <w:pPr>
              <w:spacing w:before="60" w:after="60" w:line="240" w:lineRule="auto"/>
            </w:pPr>
          </w:p>
        </w:tc>
        <w:tc>
          <w:tcPr>
            <w:tcW w:w="2500" w:type="pct"/>
          </w:tcPr>
          <w:p w14:paraId="5D124CFD" w14:textId="77777777" w:rsidR="00616321" w:rsidRPr="00931DE6" w:rsidRDefault="00616321" w:rsidP="00B301CD">
            <w:pPr>
              <w:spacing w:before="60" w:after="60" w:line="240" w:lineRule="auto"/>
            </w:pPr>
          </w:p>
        </w:tc>
      </w:tr>
    </w:tbl>
    <w:p w14:paraId="3500DEC6" w14:textId="77777777" w:rsidR="00616321" w:rsidRPr="00B803BB" w:rsidRDefault="00616321" w:rsidP="00B803BB"/>
    <w:p w14:paraId="04D7DC2D" w14:textId="77777777" w:rsidR="00663C43" w:rsidRDefault="00663C43" w:rsidP="00B803BB"/>
    <w:p w14:paraId="4670F695" w14:textId="77777777" w:rsidR="00663C43" w:rsidRPr="00B803BB" w:rsidRDefault="00663C43" w:rsidP="00663C43">
      <w:pPr>
        <w:pStyle w:val="Heading1"/>
      </w:pPr>
      <w:r w:rsidRPr="00B803BB">
        <w:t>Terminology (skill directives)</w:t>
      </w:r>
    </w:p>
    <w:tbl>
      <w:tblPr>
        <w:tblStyle w:val="ASXTable"/>
        <w:tblW w:w="0" w:type="auto"/>
        <w:tblLook w:val="0480" w:firstRow="0" w:lastRow="0" w:firstColumn="1" w:lastColumn="0" w:noHBand="0" w:noVBand="1"/>
      </w:tblPr>
      <w:tblGrid>
        <w:gridCol w:w="1701"/>
        <w:gridCol w:w="8493"/>
      </w:tblGrid>
      <w:tr w:rsidR="00663C43" w14:paraId="5B804E2C" w14:textId="77777777" w:rsidTr="00E47A46">
        <w:tc>
          <w:tcPr>
            <w:tcW w:w="1701" w:type="dxa"/>
            <w:tcBorders>
              <w:top w:val="single" w:sz="4" w:space="0" w:color="auto"/>
              <w:bottom w:val="single" w:sz="4" w:space="0" w:color="auto"/>
            </w:tcBorders>
          </w:tcPr>
          <w:p w14:paraId="1996E6DC" w14:textId="553E6FC8" w:rsidR="00663C43" w:rsidRPr="001F4848" w:rsidRDefault="00663C43" w:rsidP="00777410">
            <w:pPr>
              <w:pStyle w:val="NormalNoSpacing"/>
              <w:spacing w:before="60" w:after="60"/>
              <w:contextualSpacing w:val="0"/>
              <w:rPr>
                <w:b/>
                <w:bCs/>
              </w:rPr>
            </w:pPr>
            <w:r w:rsidRPr="00B803BB">
              <w:rPr>
                <w:b/>
                <w:bCs/>
              </w:rPr>
              <w:t>Calculate</w:t>
            </w:r>
          </w:p>
        </w:tc>
        <w:tc>
          <w:tcPr>
            <w:tcW w:w="8493" w:type="dxa"/>
            <w:tcBorders>
              <w:top w:val="single" w:sz="4" w:space="0" w:color="auto"/>
              <w:bottom w:val="single" w:sz="4" w:space="0" w:color="auto"/>
            </w:tcBorders>
          </w:tcPr>
          <w:p w14:paraId="4D233A4C" w14:textId="7DAB6430" w:rsidR="00663C43" w:rsidRDefault="00663C43" w:rsidP="00777410">
            <w:pPr>
              <w:pStyle w:val="NormalNoSpacing"/>
              <w:spacing w:before="60" w:after="60"/>
              <w:contextualSpacing w:val="0"/>
            </w:pPr>
            <w:r w:rsidRPr="00B803BB">
              <w:t>Ascertain/determine from given facts, figures or information.</w:t>
            </w:r>
          </w:p>
        </w:tc>
      </w:tr>
      <w:tr w:rsidR="00663C43" w14:paraId="05784D67" w14:textId="77777777" w:rsidTr="00E47A46">
        <w:tc>
          <w:tcPr>
            <w:tcW w:w="1701" w:type="dxa"/>
            <w:tcBorders>
              <w:top w:val="single" w:sz="4" w:space="0" w:color="auto"/>
              <w:bottom w:val="single" w:sz="4" w:space="0" w:color="auto"/>
            </w:tcBorders>
          </w:tcPr>
          <w:p w14:paraId="6443E2A5" w14:textId="22ADB453" w:rsidR="00663C43" w:rsidRPr="008846FD" w:rsidRDefault="00663C43" w:rsidP="00777410">
            <w:pPr>
              <w:pStyle w:val="NormalNoSpacing"/>
              <w:spacing w:before="60" w:after="60"/>
              <w:contextualSpacing w:val="0"/>
              <w:rPr>
                <w:rFonts w:cstheme="minorHAnsi"/>
                <w:b/>
              </w:rPr>
            </w:pPr>
            <w:r w:rsidRPr="00B803BB">
              <w:rPr>
                <w:b/>
                <w:bCs/>
              </w:rPr>
              <w:t>Identify</w:t>
            </w:r>
          </w:p>
        </w:tc>
        <w:tc>
          <w:tcPr>
            <w:tcW w:w="8493" w:type="dxa"/>
            <w:tcBorders>
              <w:top w:val="single" w:sz="4" w:space="0" w:color="auto"/>
              <w:bottom w:val="single" w:sz="4" w:space="0" w:color="auto"/>
            </w:tcBorders>
          </w:tcPr>
          <w:p w14:paraId="1B5ACD07" w14:textId="7A3CC213" w:rsidR="00663C43" w:rsidRPr="00363B4D" w:rsidRDefault="00663C43" w:rsidP="00777410">
            <w:pPr>
              <w:spacing w:before="60" w:after="60"/>
            </w:pPr>
            <w:r w:rsidRPr="00B803BB">
              <w:t>Recognise and name; Establish or indicate who or what someone or something is.</w:t>
            </w:r>
          </w:p>
        </w:tc>
      </w:tr>
    </w:tbl>
    <w:p w14:paraId="46F9CFDA" w14:textId="77777777" w:rsidR="00BC18EB" w:rsidRDefault="00BC18EB" w:rsidP="00BC18EB">
      <w:pPr>
        <w:pStyle w:val="NormalNoSpacing"/>
      </w:pPr>
    </w:p>
    <w:p w14:paraId="04C9EB68" w14:textId="7A2A61E0" w:rsidR="00663C43" w:rsidRPr="00B803BB" w:rsidRDefault="00663C43" w:rsidP="00663C43">
      <w:pPr>
        <w:pStyle w:val="Heading1"/>
      </w:pPr>
      <w:r w:rsidRPr="00B803BB">
        <w:t>Glossary</w:t>
      </w:r>
    </w:p>
    <w:tbl>
      <w:tblPr>
        <w:tblStyle w:val="ASXTable"/>
        <w:tblW w:w="0" w:type="auto"/>
        <w:tblLook w:val="0480" w:firstRow="0" w:lastRow="0" w:firstColumn="1" w:lastColumn="0" w:noHBand="0" w:noVBand="1"/>
      </w:tblPr>
      <w:tblGrid>
        <w:gridCol w:w="1843"/>
        <w:gridCol w:w="8351"/>
      </w:tblGrid>
      <w:tr w:rsidR="00663C43" w14:paraId="24422596" w14:textId="77777777" w:rsidTr="00777410">
        <w:tc>
          <w:tcPr>
            <w:tcW w:w="1843" w:type="dxa"/>
            <w:tcBorders>
              <w:top w:val="single" w:sz="4" w:space="0" w:color="auto"/>
              <w:bottom w:val="single" w:sz="4" w:space="0" w:color="auto"/>
            </w:tcBorders>
          </w:tcPr>
          <w:p w14:paraId="7D2DF844" w14:textId="3BFBAF2F" w:rsidR="00663C43" w:rsidRPr="00363B4D" w:rsidRDefault="00663C43" w:rsidP="00777410">
            <w:pPr>
              <w:pStyle w:val="NormalNoSpacing"/>
              <w:spacing w:before="60" w:after="60"/>
              <w:contextualSpacing w:val="0"/>
              <w:rPr>
                <w:rFonts w:cstheme="minorHAnsi"/>
                <w:b/>
              </w:rPr>
            </w:pPr>
            <w:r w:rsidRPr="00B803BB">
              <w:rPr>
                <w:b/>
              </w:rPr>
              <w:t>Investing</w:t>
            </w:r>
          </w:p>
        </w:tc>
        <w:tc>
          <w:tcPr>
            <w:tcW w:w="8351" w:type="dxa"/>
            <w:tcBorders>
              <w:top w:val="single" w:sz="4" w:space="0" w:color="auto"/>
              <w:bottom w:val="single" w:sz="4" w:space="0" w:color="auto"/>
            </w:tcBorders>
          </w:tcPr>
          <w:p w14:paraId="679A447C" w14:textId="3A73254E" w:rsidR="00663C43" w:rsidRPr="00363B4D" w:rsidRDefault="00663C43" w:rsidP="00777410">
            <w:pPr>
              <w:pStyle w:val="NormalNoSpacing"/>
              <w:spacing w:before="60" w:after="60"/>
              <w:contextualSpacing w:val="0"/>
            </w:pPr>
            <w:r w:rsidRPr="00B803BB">
              <w:t>Using money to buy something that has the potential to make more money by growing in value or through returns.</w:t>
            </w:r>
          </w:p>
        </w:tc>
      </w:tr>
      <w:tr w:rsidR="00663C43" w14:paraId="128D8956" w14:textId="77777777" w:rsidTr="00777410">
        <w:tc>
          <w:tcPr>
            <w:tcW w:w="1843" w:type="dxa"/>
            <w:tcBorders>
              <w:top w:val="single" w:sz="4" w:space="0" w:color="auto"/>
              <w:bottom w:val="single" w:sz="4" w:space="0" w:color="auto"/>
            </w:tcBorders>
          </w:tcPr>
          <w:p w14:paraId="18A8AB7C" w14:textId="41164DAC" w:rsidR="00663C43" w:rsidRPr="00363B4D" w:rsidRDefault="00663C43" w:rsidP="00777410">
            <w:pPr>
              <w:pStyle w:val="NormalNoSpacing"/>
              <w:spacing w:before="60" w:after="60"/>
              <w:contextualSpacing w:val="0"/>
              <w:rPr>
                <w:rFonts w:cstheme="minorHAnsi"/>
                <w:b/>
              </w:rPr>
            </w:pPr>
            <w:r w:rsidRPr="00B803BB">
              <w:rPr>
                <w:b/>
              </w:rPr>
              <w:t>Savings</w:t>
            </w:r>
          </w:p>
        </w:tc>
        <w:tc>
          <w:tcPr>
            <w:tcW w:w="8351" w:type="dxa"/>
            <w:tcBorders>
              <w:top w:val="single" w:sz="4" w:space="0" w:color="auto"/>
              <w:bottom w:val="single" w:sz="4" w:space="0" w:color="auto"/>
            </w:tcBorders>
          </w:tcPr>
          <w:p w14:paraId="19C76C2C" w14:textId="30AD97EB" w:rsidR="00663C43" w:rsidRPr="00363B4D" w:rsidRDefault="00663C43" w:rsidP="00777410">
            <w:pPr>
              <w:spacing w:before="60" w:after="60"/>
            </w:pPr>
            <w:r w:rsidRPr="00B803BB">
              <w:t>Putting money away and not spending it.</w:t>
            </w:r>
          </w:p>
        </w:tc>
      </w:tr>
      <w:tr w:rsidR="00663C43" w14:paraId="457AE5F9" w14:textId="77777777" w:rsidTr="00777410">
        <w:tc>
          <w:tcPr>
            <w:tcW w:w="1843" w:type="dxa"/>
            <w:tcBorders>
              <w:top w:val="single" w:sz="4" w:space="0" w:color="auto"/>
              <w:bottom w:val="single" w:sz="4" w:space="0" w:color="auto"/>
            </w:tcBorders>
          </w:tcPr>
          <w:p w14:paraId="5ADA684E" w14:textId="26C0D1D6" w:rsidR="00663C43" w:rsidRPr="00363B4D" w:rsidRDefault="00663C43" w:rsidP="00777410">
            <w:pPr>
              <w:pStyle w:val="NormalNoSpacing"/>
              <w:spacing w:before="60" w:after="60"/>
              <w:contextualSpacing w:val="0"/>
              <w:rPr>
                <w:rFonts w:cstheme="minorHAnsi"/>
                <w:b/>
              </w:rPr>
            </w:pPr>
            <w:r w:rsidRPr="00B803BB">
              <w:rPr>
                <w:b/>
              </w:rPr>
              <w:t>Realised loss</w:t>
            </w:r>
          </w:p>
        </w:tc>
        <w:tc>
          <w:tcPr>
            <w:tcW w:w="8351" w:type="dxa"/>
            <w:tcBorders>
              <w:top w:val="single" w:sz="4" w:space="0" w:color="auto"/>
              <w:bottom w:val="single" w:sz="4" w:space="0" w:color="auto"/>
            </w:tcBorders>
          </w:tcPr>
          <w:p w14:paraId="07E05DCB" w14:textId="25E645FE" w:rsidR="00663C43" w:rsidRPr="00363B4D" w:rsidRDefault="00663C43" w:rsidP="00777410">
            <w:pPr>
              <w:pStyle w:val="NormalNoSpacing"/>
              <w:spacing w:before="60" w:after="60"/>
              <w:contextualSpacing w:val="0"/>
            </w:pPr>
            <w:r w:rsidRPr="00B803BB">
              <w:t>When an asset is sold for a price below the price it was paid for initially.</w:t>
            </w:r>
          </w:p>
        </w:tc>
      </w:tr>
      <w:tr w:rsidR="00663C43" w14:paraId="6709E6A1" w14:textId="77777777" w:rsidTr="00777410">
        <w:tc>
          <w:tcPr>
            <w:tcW w:w="1843" w:type="dxa"/>
            <w:tcBorders>
              <w:top w:val="single" w:sz="4" w:space="0" w:color="auto"/>
              <w:bottom w:val="single" w:sz="4" w:space="0" w:color="auto"/>
            </w:tcBorders>
          </w:tcPr>
          <w:p w14:paraId="16D56843" w14:textId="4DD4B24B" w:rsidR="00663C43" w:rsidRPr="00363B4D" w:rsidRDefault="00663C43" w:rsidP="00777410">
            <w:pPr>
              <w:pStyle w:val="NormalNoSpacing"/>
              <w:spacing w:before="60" w:after="60"/>
              <w:contextualSpacing w:val="0"/>
              <w:rPr>
                <w:rFonts w:cstheme="minorHAnsi"/>
                <w:b/>
              </w:rPr>
            </w:pPr>
            <w:r w:rsidRPr="00B803BB">
              <w:rPr>
                <w:b/>
              </w:rPr>
              <w:t>Tenants</w:t>
            </w:r>
          </w:p>
        </w:tc>
        <w:tc>
          <w:tcPr>
            <w:tcW w:w="8351" w:type="dxa"/>
            <w:tcBorders>
              <w:top w:val="single" w:sz="4" w:space="0" w:color="auto"/>
              <w:bottom w:val="single" w:sz="4" w:space="0" w:color="auto"/>
            </w:tcBorders>
          </w:tcPr>
          <w:p w14:paraId="140D8DE9" w14:textId="2B27B577" w:rsidR="00663C43" w:rsidRPr="00363B4D" w:rsidRDefault="00663C43" w:rsidP="00777410">
            <w:pPr>
              <w:pStyle w:val="NormalNoSpacing"/>
              <w:spacing w:before="60" w:after="60"/>
              <w:contextualSpacing w:val="0"/>
            </w:pPr>
            <w:r w:rsidRPr="00B803BB">
              <w:t>People or organisations that have a right to use a property in exchange for a payment of rent.</w:t>
            </w:r>
          </w:p>
        </w:tc>
      </w:tr>
      <w:tr w:rsidR="00663C43" w14:paraId="06345430" w14:textId="77777777" w:rsidTr="00777410">
        <w:tc>
          <w:tcPr>
            <w:tcW w:w="1843" w:type="dxa"/>
            <w:tcBorders>
              <w:top w:val="single" w:sz="4" w:space="0" w:color="auto"/>
              <w:bottom w:val="single" w:sz="4" w:space="0" w:color="auto"/>
            </w:tcBorders>
          </w:tcPr>
          <w:p w14:paraId="08079ADA" w14:textId="24A921CE" w:rsidR="00663C43" w:rsidRPr="00B803BB" w:rsidRDefault="00663C43" w:rsidP="00777410">
            <w:pPr>
              <w:pStyle w:val="NormalNoSpacing"/>
              <w:spacing w:before="60" w:after="60"/>
              <w:contextualSpacing w:val="0"/>
              <w:rPr>
                <w:b/>
              </w:rPr>
            </w:pPr>
            <w:r w:rsidRPr="00B803BB">
              <w:rPr>
                <w:b/>
              </w:rPr>
              <w:t>Leases</w:t>
            </w:r>
          </w:p>
        </w:tc>
        <w:tc>
          <w:tcPr>
            <w:tcW w:w="8351" w:type="dxa"/>
            <w:tcBorders>
              <w:top w:val="single" w:sz="4" w:space="0" w:color="auto"/>
              <w:bottom w:val="single" w:sz="4" w:space="0" w:color="auto"/>
            </w:tcBorders>
          </w:tcPr>
          <w:p w14:paraId="26CC49B4" w14:textId="3EA72566" w:rsidR="00663C43" w:rsidRPr="00B803BB" w:rsidRDefault="00663C43" w:rsidP="00777410">
            <w:pPr>
              <w:spacing w:before="60" w:after="60"/>
            </w:pPr>
            <w:r w:rsidRPr="00B803BB">
              <w:t>Allowing someone to rent something, usually property and expecting a regular payment as a result for its use.</w:t>
            </w:r>
          </w:p>
        </w:tc>
      </w:tr>
      <w:tr w:rsidR="00663C43" w14:paraId="1FB10651" w14:textId="77777777" w:rsidTr="00777410">
        <w:tc>
          <w:tcPr>
            <w:tcW w:w="1843" w:type="dxa"/>
            <w:tcBorders>
              <w:top w:val="single" w:sz="4" w:space="0" w:color="auto"/>
              <w:bottom w:val="single" w:sz="4" w:space="0" w:color="auto"/>
            </w:tcBorders>
          </w:tcPr>
          <w:p w14:paraId="465D9DBF" w14:textId="654C0280" w:rsidR="00663C43" w:rsidRPr="00B803BB" w:rsidRDefault="00663C43" w:rsidP="00777410">
            <w:pPr>
              <w:pStyle w:val="NormalNoSpacing"/>
              <w:spacing w:before="60" w:after="60"/>
              <w:contextualSpacing w:val="0"/>
              <w:rPr>
                <w:b/>
              </w:rPr>
            </w:pPr>
            <w:r w:rsidRPr="00B803BB">
              <w:rPr>
                <w:b/>
              </w:rPr>
              <w:t>Budget</w:t>
            </w:r>
          </w:p>
        </w:tc>
        <w:tc>
          <w:tcPr>
            <w:tcW w:w="8351" w:type="dxa"/>
            <w:tcBorders>
              <w:top w:val="single" w:sz="4" w:space="0" w:color="auto"/>
              <w:bottom w:val="single" w:sz="4" w:space="0" w:color="auto"/>
            </w:tcBorders>
          </w:tcPr>
          <w:p w14:paraId="10797CAF" w14:textId="5C1B460C" w:rsidR="00663C43" w:rsidRPr="00B803BB" w:rsidRDefault="00663C43" w:rsidP="00777410">
            <w:pPr>
              <w:spacing w:before="60" w:after="60"/>
            </w:pPr>
            <w:r w:rsidRPr="00B803BB">
              <w:t>Allowing someone to rent something, usually property and expecting a regular payment as a result for its use.</w:t>
            </w:r>
          </w:p>
        </w:tc>
      </w:tr>
      <w:tr w:rsidR="00663C43" w14:paraId="5E721395" w14:textId="77777777" w:rsidTr="00777410">
        <w:tc>
          <w:tcPr>
            <w:tcW w:w="1843" w:type="dxa"/>
            <w:tcBorders>
              <w:top w:val="single" w:sz="4" w:space="0" w:color="auto"/>
              <w:bottom w:val="single" w:sz="4" w:space="0" w:color="auto"/>
            </w:tcBorders>
          </w:tcPr>
          <w:p w14:paraId="1DD95242" w14:textId="405590B1" w:rsidR="00663C43" w:rsidRPr="00B803BB" w:rsidRDefault="00663C43" w:rsidP="00777410">
            <w:pPr>
              <w:pStyle w:val="NormalNoSpacing"/>
              <w:spacing w:before="60" w:after="60"/>
              <w:contextualSpacing w:val="0"/>
              <w:rPr>
                <w:b/>
              </w:rPr>
            </w:pPr>
            <w:r w:rsidRPr="00B803BB">
              <w:rPr>
                <w:b/>
              </w:rPr>
              <w:t>Risk</w:t>
            </w:r>
          </w:p>
        </w:tc>
        <w:tc>
          <w:tcPr>
            <w:tcW w:w="8351" w:type="dxa"/>
            <w:tcBorders>
              <w:top w:val="single" w:sz="4" w:space="0" w:color="auto"/>
              <w:bottom w:val="single" w:sz="4" w:space="0" w:color="auto"/>
            </w:tcBorders>
          </w:tcPr>
          <w:p w14:paraId="35357263" w14:textId="7CFEF573" w:rsidR="00663C43" w:rsidRPr="00B803BB" w:rsidRDefault="00663C43" w:rsidP="00777410">
            <w:pPr>
              <w:spacing w:before="60" w:after="60"/>
            </w:pPr>
            <w:r w:rsidRPr="00B803BB">
              <w:t>The possibility of losing money on an investment.</w:t>
            </w:r>
          </w:p>
        </w:tc>
      </w:tr>
      <w:tr w:rsidR="00663C43" w14:paraId="5085B664" w14:textId="77777777" w:rsidTr="00777410">
        <w:tc>
          <w:tcPr>
            <w:tcW w:w="1843" w:type="dxa"/>
            <w:tcBorders>
              <w:top w:val="single" w:sz="4" w:space="0" w:color="auto"/>
              <w:bottom w:val="single" w:sz="4" w:space="0" w:color="auto"/>
            </w:tcBorders>
          </w:tcPr>
          <w:p w14:paraId="0C5B9786" w14:textId="507065BE" w:rsidR="00663C43" w:rsidRPr="00B803BB" w:rsidRDefault="00663C43" w:rsidP="00777410">
            <w:pPr>
              <w:pStyle w:val="NormalNoSpacing"/>
              <w:spacing w:before="60" w:after="60"/>
              <w:contextualSpacing w:val="0"/>
              <w:rPr>
                <w:b/>
              </w:rPr>
            </w:pPr>
            <w:r w:rsidRPr="00B803BB">
              <w:rPr>
                <w:b/>
              </w:rPr>
              <w:t>Credit union</w:t>
            </w:r>
          </w:p>
        </w:tc>
        <w:tc>
          <w:tcPr>
            <w:tcW w:w="8351" w:type="dxa"/>
            <w:tcBorders>
              <w:top w:val="single" w:sz="4" w:space="0" w:color="auto"/>
              <w:bottom w:val="single" w:sz="4" w:space="0" w:color="auto"/>
            </w:tcBorders>
          </w:tcPr>
          <w:p w14:paraId="30D0ACE6" w14:textId="02366CF7" w:rsidR="00663C43" w:rsidRPr="00B803BB" w:rsidRDefault="00663C43" w:rsidP="00777410">
            <w:pPr>
              <w:spacing w:before="60" w:after="60"/>
            </w:pPr>
            <w:r w:rsidRPr="00B803BB">
              <w:t>A financial organisation, much like a bank but instead of being owned by shareholders, it is owned by its members who are usually also its customers.</w:t>
            </w:r>
          </w:p>
        </w:tc>
      </w:tr>
      <w:tr w:rsidR="00663C43" w14:paraId="7CC1F1A8" w14:textId="77777777" w:rsidTr="00777410">
        <w:tc>
          <w:tcPr>
            <w:tcW w:w="1843" w:type="dxa"/>
            <w:tcBorders>
              <w:top w:val="single" w:sz="4" w:space="0" w:color="auto"/>
              <w:bottom w:val="single" w:sz="4" w:space="0" w:color="auto"/>
            </w:tcBorders>
          </w:tcPr>
          <w:p w14:paraId="21A49172" w14:textId="125FDDCB" w:rsidR="00663C43" w:rsidRPr="00B803BB" w:rsidRDefault="00663C43" w:rsidP="00777410">
            <w:pPr>
              <w:pStyle w:val="NormalNoSpacing"/>
              <w:spacing w:before="60" w:after="60"/>
              <w:contextualSpacing w:val="0"/>
              <w:rPr>
                <w:b/>
              </w:rPr>
            </w:pPr>
            <w:r w:rsidRPr="00B803BB">
              <w:rPr>
                <w:b/>
              </w:rPr>
              <w:t>Diversification</w:t>
            </w:r>
          </w:p>
        </w:tc>
        <w:tc>
          <w:tcPr>
            <w:tcW w:w="8351" w:type="dxa"/>
            <w:tcBorders>
              <w:top w:val="single" w:sz="4" w:space="0" w:color="auto"/>
              <w:bottom w:val="single" w:sz="4" w:space="0" w:color="auto"/>
            </w:tcBorders>
          </w:tcPr>
          <w:p w14:paraId="416C8F4A" w14:textId="0BF9491F" w:rsidR="00663C43" w:rsidRPr="00663C43" w:rsidRDefault="00663C43" w:rsidP="00777410">
            <w:pPr>
              <w:spacing w:before="60" w:after="60"/>
            </w:pPr>
            <w:r w:rsidRPr="00B803BB">
              <w:t>A strategy that mixes a wide variety of investments types and sectors within a portfolio for the purpose of minimising risk.</w:t>
            </w:r>
          </w:p>
        </w:tc>
      </w:tr>
      <w:tr w:rsidR="00663C43" w14:paraId="5A847939" w14:textId="77777777" w:rsidTr="00777410">
        <w:tc>
          <w:tcPr>
            <w:tcW w:w="1843" w:type="dxa"/>
            <w:tcBorders>
              <w:top w:val="single" w:sz="4" w:space="0" w:color="auto"/>
              <w:bottom w:val="single" w:sz="4" w:space="0" w:color="auto"/>
            </w:tcBorders>
          </w:tcPr>
          <w:p w14:paraId="40CB407E" w14:textId="29611E34" w:rsidR="00663C43" w:rsidRPr="00B803BB" w:rsidRDefault="00663C43" w:rsidP="00777410">
            <w:pPr>
              <w:pStyle w:val="NormalNoSpacing"/>
              <w:spacing w:before="60" w:after="60"/>
              <w:contextualSpacing w:val="0"/>
              <w:rPr>
                <w:b/>
              </w:rPr>
            </w:pPr>
            <w:r w:rsidRPr="00B803BB">
              <w:rPr>
                <w:b/>
              </w:rPr>
              <w:t>Inflation</w:t>
            </w:r>
          </w:p>
        </w:tc>
        <w:tc>
          <w:tcPr>
            <w:tcW w:w="8351" w:type="dxa"/>
            <w:tcBorders>
              <w:top w:val="single" w:sz="4" w:space="0" w:color="auto"/>
              <w:bottom w:val="single" w:sz="4" w:space="0" w:color="auto"/>
            </w:tcBorders>
          </w:tcPr>
          <w:p w14:paraId="50760401" w14:textId="05869A52" w:rsidR="00663C43" w:rsidRPr="00B803BB" w:rsidRDefault="00663C43" w:rsidP="00777410">
            <w:pPr>
              <w:spacing w:before="60" w:after="60"/>
            </w:pPr>
            <w:r w:rsidRPr="00B803BB">
              <w:t>The rise in prices of goods and services over time despite the inputs to those goods remaining the same.</w:t>
            </w:r>
          </w:p>
        </w:tc>
      </w:tr>
      <w:tr w:rsidR="00663C43" w14:paraId="72C24FA6" w14:textId="77777777" w:rsidTr="00777410">
        <w:tc>
          <w:tcPr>
            <w:tcW w:w="1843" w:type="dxa"/>
            <w:tcBorders>
              <w:top w:val="single" w:sz="4" w:space="0" w:color="auto"/>
              <w:bottom w:val="single" w:sz="4" w:space="0" w:color="auto"/>
            </w:tcBorders>
          </w:tcPr>
          <w:p w14:paraId="3B18EB9B" w14:textId="23767816" w:rsidR="00663C43" w:rsidRPr="00B803BB" w:rsidRDefault="00663C43" w:rsidP="00777410">
            <w:pPr>
              <w:pStyle w:val="NormalNoSpacing"/>
              <w:spacing w:before="60" w:after="60"/>
              <w:contextualSpacing w:val="0"/>
              <w:rPr>
                <w:b/>
              </w:rPr>
            </w:pPr>
            <w:r w:rsidRPr="00B803BB">
              <w:rPr>
                <w:b/>
              </w:rPr>
              <w:t>Terms and conditions</w:t>
            </w:r>
          </w:p>
        </w:tc>
        <w:tc>
          <w:tcPr>
            <w:tcW w:w="8351" w:type="dxa"/>
            <w:tcBorders>
              <w:top w:val="single" w:sz="4" w:space="0" w:color="auto"/>
              <w:bottom w:val="single" w:sz="4" w:space="0" w:color="auto"/>
            </w:tcBorders>
          </w:tcPr>
          <w:p w14:paraId="46137027" w14:textId="0F3F2BF9" w:rsidR="00663C43" w:rsidRPr="00B803BB" w:rsidRDefault="00663C43" w:rsidP="00777410">
            <w:pPr>
              <w:spacing w:before="60" w:after="60"/>
            </w:pPr>
            <w:r w:rsidRPr="00B803BB">
              <w:t>The rules agreed to before the use of certain products or services.</w:t>
            </w:r>
          </w:p>
        </w:tc>
      </w:tr>
      <w:tr w:rsidR="00663C43" w14:paraId="422A4207" w14:textId="77777777" w:rsidTr="00777410">
        <w:tc>
          <w:tcPr>
            <w:tcW w:w="1843" w:type="dxa"/>
            <w:tcBorders>
              <w:top w:val="single" w:sz="4" w:space="0" w:color="auto"/>
              <w:bottom w:val="single" w:sz="4" w:space="0" w:color="auto"/>
            </w:tcBorders>
          </w:tcPr>
          <w:p w14:paraId="24CE1AF4" w14:textId="60B89DDA" w:rsidR="00663C43" w:rsidRPr="00B803BB" w:rsidRDefault="00663C43" w:rsidP="00777410">
            <w:pPr>
              <w:pStyle w:val="NormalNoSpacing"/>
              <w:spacing w:before="60" w:after="60"/>
              <w:contextualSpacing w:val="0"/>
              <w:rPr>
                <w:b/>
              </w:rPr>
            </w:pPr>
            <w:r w:rsidRPr="00B803BB">
              <w:rPr>
                <w:b/>
              </w:rPr>
              <w:t>Return</w:t>
            </w:r>
          </w:p>
        </w:tc>
        <w:tc>
          <w:tcPr>
            <w:tcW w:w="8351" w:type="dxa"/>
            <w:tcBorders>
              <w:top w:val="single" w:sz="4" w:space="0" w:color="auto"/>
              <w:bottom w:val="single" w:sz="4" w:space="0" w:color="auto"/>
            </w:tcBorders>
            <w:vAlign w:val="center"/>
          </w:tcPr>
          <w:p w14:paraId="11ECBD63" w14:textId="5978F466" w:rsidR="00663C43" w:rsidRPr="00B803BB" w:rsidRDefault="00663C43" w:rsidP="00777410">
            <w:pPr>
              <w:spacing w:before="60" w:after="60"/>
            </w:pPr>
            <w:r w:rsidRPr="00B803BB">
              <w:t>The amount of money made on an investment relative to how much the initial investment was worth.</w:t>
            </w:r>
          </w:p>
        </w:tc>
      </w:tr>
      <w:tr w:rsidR="00663C43" w14:paraId="54FFFB49" w14:textId="77777777" w:rsidTr="00777410">
        <w:tc>
          <w:tcPr>
            <w:tcW w:w="1843" w:type="dxa"/>
            <w:tcBorders>
              <w:top w:val="single" w:sz="4" w:space="0" w:color="auto"/>
              <w:bottom w:val="single" w:sz="4" w:space="0" w:color="auto"/>
            </w:tcBorders>
          </w:tcPr>
          <w:p w14:paraId="52405DC8" w14:textId="3D657C45" w:rsidR="00663C43" w:rsidRPr="00B803BB" w:rsidRDefault="00663C43" w:rsidP="00777410">
            <w:pPr>
              <w:pStyle w:val="NormalNoSpacing"/>
              <w:spacing w:before="60" w:after="60"/>
              <w:contextualSpacing w:val="0"/>
              <w:rPr>
                <w:b/>
              </w:rPr>
            </w:pPr>
            <w:r w:rsidRPr="00B803BB">
              <w:rPr>
                <w:b/>
              </w:rPr>
              <w:t>Compounding</w:t>
            </w:r>
          </w:p>
        </w:tc>
        <w:tc>
          <w:tcPr>
            <w:tcW w:w="8351" w:type="dxa"/>
            <w:tcBorders>
              <w:top w:val="single" w:sz="4" w:space="0" w:color="auto"/>
              <w:bottom w:val="single" w:sz="4" w:space="0" w:color="auto"/>
            </w:tcBorders>
            <w:vAlign w:val="center"/>
          </w:tcPr>
          <w:p w14:paraId="0A5AB5E0" w14:textId="165E1B31" w:rsidR="00663C43" w:rsidRPr="00B803BB" w:rsidRDefault="00663C43" w:rsidP="00777410">
            <w:pPr>
              <w:spacing w:before="60" w:after="60"/>
            </w:pPr>
            <w:r w:rsidRPr="00B803BB">
              <w:t>the process whereby the amount of money that is made on an investment is added to the initial investment, and then reinvested again to potentially grow or make more money.</w:t>
            </w:r>
          </w:p>
        </w:tc>
      </w:tr>
      <w:tr w:rsidR="00663C43" w14:paraId="7B2D5D38" w14:textId="77777777" w:rsidTr="00777410">
        <w:tc>
          <w:tcPr>
            <w:tcW w:w="1843" w:type="dxa"/>
            <w:tcBorders>
              <w:top w:val="single" w:sz="4" w:space="0" w:color="auto"/>
              <w:bottom w:val="single" w:sz="4" w:space="0" w:color="auto"/>
            </w:tcBorders>
          </w:tcPr>
          <w:p w14:paraId="4C16CA7F" w14:textId="1B7D1454" w:rsidR="00663C43" w:rsidRPr="00B803BB" w:rsidRDefault="00663C43" w:rsidP="00777410">
            <w:pPr>
              <w:pStyle w:val="NormalNoSpacing"/>
              <w:spacing w:before="60" w:after="60"/>
              <w:contextualSpacing w:val="0"/>
              <w:rPr>
                <w:b/>
              </w:rPr>
            </w:pPr>
            <w:r w:rsidRPr="00B803BB">
              <w:rPr>
                <w:b/>
              </w:rPr>
              <w:t>Reinvesting</w:t>
            </w:r>
          </w:p>
        </w:tc>
        <w:tc>
          <w:tcPr>
            <w:tcW w:w="8351" w:type="dxa"/>
            <w:tcBorders>
              <w:top w:val="single" w:sz="4" w:space="0" w:color="auto"/>
              <w:bottom w:val="single" w:sz="4" w:space="0" w:color="auto"/>
            </w:tcBorders>
            <w:vAlign w:val="center"/>
          </w:tcPr>
          <w:p w14:paraId="216357D5" w14:textId="11E1200B" w:rsidR="00663C43" w:rsidRPr="00B803BB" w:rsidRDefault="00663C43" w:rsidP="00777410">
            <w:pPr>
              <w:spacing w:before="60" w:after="60"/>
            </w:pPr>
            <w:r w:rsidRPr="00B803BB">
              <w:t>Adding money made by an investment back into the investment.</w:t>
            </w:r>
          </w:p>
        </w:tc>
      </w:tr>
      <w:tr w:rsidR="00663C43" w14:paraId="6FB8EF06" w14:textId="77777777" w:rsidTr="00777410">
        <w:tc>
          <w:tcPr>
            <w:tcW w:w="1843" w:type="dxa"/>
            <w:tcBorders>
              <w:top w:val="single" w:sz="4" w:space="0" w:color="auto"/>
            </w:tcBorders>
          </w:tcPr>
          <w:p w14:paraId="394890FA" w14:textId="0808B043" w:rsidR="00663C43" w:rsidRPr="00B803BB" w:rsidRDefault="00663C43" w:rsidP="00777410">
            <w:pPr>
              <w:pStyle w:val="NormalNoSpacing"/>
              <w:spacing w:before="60" w:after="60"/>
              <w:contextualSpacing w:val="0"/>
              <w:rPr>
                <w:b/>
              </w:rPr>
            </w:pPr>
            <w:r w:rsidRPr="00B803BB">
              <w:rPr>
                <w:b/>
              </w:rPr>
              <w:t>Australian Security and Investments Commission (ASIC)</w:t>
            </w:r>
          </w:p>
        </w:tc>
        <w:tc>
          <w:tcPr>
            <w:tcW w:w="8351" w:type="dxa"/>
            <w:tcBorders>
              <w:top w:val="single" w:sz="4" w:space="0" w:color="auto"/>
            </w:tcBorders>
          </w:tcPr>
          <w:p w14:paraId="2FEE9AE4" w14:textId="687C4846" w:rsidR="00663C43" w:rsidRPr="00B803BB" w:rsidRDefault="00663C43" w:rsidP="00777410">
            <w:pPr>
              <w:spacing w:before="60" w:after="60"/>
            </w:pPr>
            <w:r w:rsidRPr="00B803BB">
              <w:t>An independent government organisation that is responsible for overseeing that companies are adhering to the Corporations Act 2001 (Cth).</w:t>
            </w:r>
          </w:p>
        </w:tc>
      </w:tr>
    </w:tbl>
    <w:p w14:paraId="70E9D5AD" w14:textId="77777777" w:rsidR="00663C43" w:rsidRDefault="00663C43">
      <w:pPr>
        <w:adjustRightInd/>
        <w:snapToGrid/>
        <w:spacing w:after="0" w:line="240" w:lineRule="auto"/>
        <w:rPr>
          <w:b/>
        </w:rPr>
      </w:pPr>
    </w:p>
    <w:sectPr w:rsidR="00663C43" w:rsidSect="00283AF9">
      <w:headerReference w:type="default" r:id="rId11"/>
      <w:footerReference w:type="default" r:id="rId12"/>
      <w:headerReference w:type="first" r:id="rId13"/>
      <w:footerReference w:type="first" r:id="rId14"/>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A5F5" w14:textId="77777777" w:rsidR="0048201E" w:rsidRPr="00BB56AD" w:rsidRDefault="0048201E">
      <w:r w:rsidRPr="00BB56AD">
        <w:separator/>
      </w:r>
    </w:p>
  </w:endnote>
  <w:endnote w:type="continuationSeparator" w:id="0">
    <w:p w14:paraId="26DF56B6" w14:textId="77777777" w:rsidR="0048201E" w:rsidRPr="00BB56AD" w:rsidRDefault="0048201E">
      <w:r w:rsidRPr="00BB56AD">
        <w:continuationSeparator/>
      </w:r>
    </w:p>
  </w:endnote>
  <w:endnote w:type="continuationNotice" w:id="1">
    <w:p w14:paraId="7EDB55D0" w14:textId="77777777" w:rsidR="0048201E" w:rsidRPr="00BB56AD" w:rsidRDefault="004820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B002" w14:textId="77777777" w:rsidR="0048201E" w:rsidRPr="00BB56AD" w:rsidRDefault="0048201E" w:rsidP="00403192">
      <w:pPr>
        <w:spacing w:after="0"/>
      </w:pPr>
      <w:r w:rsidRPr="00BB56AD">
        <w:separator/>
      </w:r>
    </w:p>
  </w:footnote>
  <w:footnote w:type="continuationSeparator" w:id="0">
    <w:p w14:paraId="4A1AB2CF" w14:textId="77777777" w:rsidR="0048201E" w:rsidRPr="00BB56AD" w:rsidRDefault="0048201E" w:rsidP="00403192">
      <w:pPr>
        <w:spacing w:after="0"/>
      </w:pPr>
      <w:r w:rsidRPr="00BB56AD">
        <w:continuationSeparator/>
      </w:r>
    </w:p>
  </w:footnote>
  <w:footnote w:type="continuationNotice" w:id="1">
    <w:p w14:paraId="31FBF956" w14:textId="77777777" w:rsidR="0048201E" w:rsidRPr="00BB56AD" w:rsidRDefault="004820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5E091D7D" w:rsidR="00970524" w:rsidRPr="00283AF9" w:rsidRDefault="00B16C9A" w:rsidP="00970524">
          <w:pPr>
            <w:pStyle w:val="NormalNoSpacing"/>
            <w:rPr>
              <w:rFonts w:cstheme="minorHAnsi"/>
            </w:rPr>
          </w:pPr>
          <w:r>
            <w:rPr>
              <w:rFonts w:cstheme="minorHAnsi"/>
              <w:b/>
              <w:bCs/>
            </w:rPr>
            <w:t>School</w:t>
          </w:r>
          <w:r w:rsidR="00616321">
            <w:rPr>
              <w:rFonts w:cstheme="minorHAnsi"/>
              <w:b/>
              <w:bCs/>
            </w:rPr>
            <w:t>s</w:t>
          </w:r>
          <w:r>
            <w:rPr>
              <w:rFonts w:cstheme="minorHAnsi"/>
              <w:b/>
              <w:bCs/>
            </w:rPr>
            <w:t xml:space="preserve"> </w:t>
          </w:r>
          <w:r w:rsidR="004902FD" w:rsidRPr="004902FD">
            <w:rPr>
              <w:rFonts w:cstheme="minorHAnsi"/>
              <w:b/>
              <w:bCs/>
            </w:rPr>
            <w:t>Sharemarket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203157">
                <w:rPr>
                  <w:rFonts w:cstheme="minorHAnsi"/>
                </w:rPr>
                <w:t>Getting ready to invest</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18406E6D">
              <wp:simplePos x="0" y="0"/>
              <wp:positionH relativeFrom="page">
                <wp:posOffset>-19050</wp:posOffset>
              </wp:positionH>
              <wp:positionV relativeFrom="paragraph">
                <wp:posOffset>-252095</wp:posOffset>
              </wp:positionV>
              <wp:extent cx="7632000" cy="2628000"/>
              <wp:effectExtent l="0" t="0" r="7620" b="1270"/>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628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80184" id="Rectangle 2" o:spid="_x0000_s1026" alt="&quot;&quot;" style="position:absolute;margin-left:-1.5pt;margin-top:-19.85pt;width:600.95pt;height:20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trPr>
        <w:trHeight w:val="850"/>
      </w:trPr>
      <w:tc>
        <w:tcPr>
          <w:tcW w:w="3890" w:type="pct"/>
        </w:tcPr>
        <w:p w14:paraId="0C17B936" w14:textId="1442B99B" w:rsidR="00C24BA9" w:rsidRPr="00BB56AD" w:rsidRDefault="00203157"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sidR="00616321">
                <w:rPr>
                  <w:color w:val="FFFFFF" w:themeColor="background1"/>
                </w:rPr>
                <w:t>s</w:t>
              </w:r>
              <w:r w:rsidR="00B16C9A">
                <w:rPr>
                  <w:color w:val="FFFFFF" w:themeColor="background1"/>
                </w:rPr>
                <w:t xml:space="preserve"> </w:t>
              </w:r>
              <w:r w:rsidR="005C65A2">
                <w:rPr>
                  <w:color w:val="FFFFFF" w:themeColor="background1"/>
                </w:rPr>
                <w:t>Sharemarket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E3535E8"/>
    <w:multiLevelType w:val="multilevel"/>
    <w:tmpl w:val="0E8A2502"/>
    <w:numStyleLink w:val="Normalwitharrow"/>
  </w:abstractNum>
  <w:abstractNum w:abstractNumId="6"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8" w15:restartNumberingAfterBreak="0">
    <w:nsid w:val="12643A87"/>
    <w:multiLevelType w:val="multilevel"/>
    <w:tmpl w:val="B47A5CEE"/>
    <w:numStyleLink w:val="ASXAttachmentListStyle"/>
  </w:abstractNum>
  <w:abstractNum w:abstractNumId="9" w15:restartNumberingAfterBreak="0">
    <w:nsid w:val="19947C05"/>
    <w:multiLevelType w:val="multilevel"/>
    <w:tmpl w:val="7AC449B6"/>
    <w:numStyleLink w:val="ASXParagraphNumbering"/>
  </w:abstractNum>
  <w:abstractNum w:abstractNumId="10" w15:restartNumberingAfterBreak="0">
    <w:nsid w:val="1BCE5C2F"/>
    <w:multiLevelType w:val="multilevel"/>
    <w:tmpl w:val="DE502248"/>
    <w:numStyleLink w:val="ASXTableList"/>
  </w:abstractNum>
  <w:abstractNum w:abstractNumId="11"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5" w15:restartNumberingAfterBreak="0">
    <w:nsid w:val="2DE90D4A"/>
    <w:multiLevelType w:val="multilevel"/>
    <w:tmpl w:val="6164AC76"/>
    <w:numStyleLink w:val="ASXNumberedHeadings"/>
  </w:abstractNum>
  <w:abstractNum w:abstractNumId="16"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7"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785C"/>
    <w:multiLevelType w:val="multilevel"/>
    <w:tmpl w:val="DE502248"/>
    <w:numStyleLink w:val="ASXTableList"/>
  </w:abstractNum>
  <w:abstractNum w:abstractNumId="19"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D4D02E1"/>
    <w:multiLevelType w:val="multilevel"/>
    <w:tmpl w:val="7AC449B6"/>
    <w:numStyleLink w:val="ASXParagraphNumbering"/>
  </w:abstractNum>
  <w:abstractNum w:abstractNumId="22"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7"/>
  </w:num>
  <w:num w:numId="2" w16cid:durableId="1373726361">
    <w:abstractNumId w:val="16"/>
  </w:num>
  <w:num w:numId="3" w16cid:durableId="1681278824">
    <w:abstractNumId w:val="12"/>
  </w:num>
  <w:num w:numId="4" w16cid:durableId="1106997184">
    <w:abstractNumId w:val="20"/>
  </w:num>
  <w:num w:numId="5" w16cid:durableId="826937106">
    <w:abstractNumId w:val="2"/>
  </w:num>
  <w:num w:numId="6" w16cid:durableId="399180240">
    <w:abstractNumId w:val="11"/>
  </w:num>
  <w:num w:numId="7" w16cid:durableId="1327318825">
    <w:abstractNumId w:val="15"/>
  </w:num>
  <w:num w:numId="8" w16cid:durableId="1026441482">
    <w:abstractNumId w:val="22"/>
  </w:num>
  <w:num w:numId="9" w16cid:durableId="1703019663">
    <w:abstractNumId w:val="9"/>
  </w:num>
  <w:num w:numId="10" w16cid:durableId="1811895211">
    <w:abstractNumId w:val="8"/>
  </w:num>
  <w:num w:numId="11" w16cid:durableId="3035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4"/>
  </w:num>
  <w:num w:numId="13" w16cid:durableId="433135935">
    <w:abstractNumId w:val="18"/>
  </w:num>
  <w:num w:numId="14" w16cid:durableId="898439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19"/>
  </w:num>
  <w:num w:numId="17" w16cid:durableId="1419666911">
    <w:abstractNumId w:val="6"/>
  </w:num>
  <w:num w:numId="18" w16cid:durableId="1374235183">
    <w:abstractNumId w:val="5"/>
  </w:num>
  <w:num w:numId="19" w16cid:durableId="1296718823">
    <w:abstractNumId w:val="3"/>
  </w:num>
  <w:num w:numId="20" w16cid:durableId="39869941">
    <w:abstractNumId w:val="17"/>
  </w:num>
  <w:num w:numId="21" w16cid:durableId="1944266962">
    <w:abstractNumId w:val="13"/>
  </w:num>
  <w:num w:numId="22" w16cid:durableId="332494833">
    <w:abstractNumId w:val="1"/>
  </w:num>
  <w:num w:numId="23" w16cid:durableId="364722837">
    <w:abstractNumId w:val="0"/>
  </w:num>
  <w:num w:numId="24" w16cid:durableId="1667367294">
    <w:abstractNumId w:val="21"/>
  </w:num>
  <w:num w:numId="25" w16cid:durableId="1545872029">
    <w:abstractNumId w:val="10"/>
  </w:num>
  <w:num w:numId="26" w16cid:durableId="70348418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2D6B"/>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157"/>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D5E04"/>
    <w:rsid w:val="002E205B"/>
    <w:rsid w:val="002E3D04"/>
    <w:rsid w:val="002E4BEF"/>
    <w:rsid w:val="002F04F5"/>
    <w:rsid w:val="002F107F"/>
    <w:rsid w:val="002F10BA"/>
    <w:rsid w:val="002F16F6"/>
    <w:rsid w:val="002F40F9"/>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6A93"/>
    <w:rsid w:val="0036292E"/>
    <w:rsid w:val="003633C2"/>
    <w:rsid w:val="00363B4D"/>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01E"/>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2760"/>
    <w:rsid w:val="00616321"/>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C43"/>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410"/>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1278"/>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5F30"/>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2E45"/>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03BB"/>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8EB"/>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594E"/>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3B8A"/>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922FFABD-A216-4115-8966-6986A396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uiPriority w:val="3"/>
    <w:qFormat/>
    <w:rsid w:val="003D210B"/>
    <w:pPr>
      <w:numPr>
        <w:ilvl w:val="0"/>
        <w:numId w:val="7"/>
      </w:numPr>
    </w:pPr>
    <w:rPr>
      <w:color w:val="2D6DF8"/>
      <w:sz w:val="28"/>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uiPriority w:val="3"/>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uiPriority w:val="3"/>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uiPriority w:val="3"/>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2"/>
    <w:qFormat/>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PulloutQuote">
    <w:name w:val="Pullout Quote"/>
    <w:basedOn w:val="Normal"/>
    <w:next w:val="Normal"/>
    <w:qFormat/>
    <w:rsid w:val="00363B4D"/>
    <w:pPr>
      <w:spacing w:before="120" w:line="240" w:lineRule="auto"/>
      <w:jc w:val="center"/>
    </w:pPr>
    <w:rPr>
      <w:i/>
      <w:color w:val="2D6DF8" w:themeColor="accent2"/>
      <w:spacing w:val="0"/>
      <w:sz w:val="32"/>
      <w:szCs w:val="24"/>
    </w:rPr>
  </w:style>
  <w:style w:type="paragraph" w:customStyle="1" w:styleId="TimelineText">
    <w:name w:val="Timeline Text"/>
    <w:basedOn w:val="Normal"/>
    <w:qFormat/>
    <w:rsid w:val="00363B4D"/>
    <w:pPr>
      <w:spacing w:after="0" w:line="240" w:lineRule="atLeast"/>
      <w:jc w:val="center"/>
    </w:pPr>
    <w:rPr>
      <w:rFonts w:cs="Calibri"/>
      <w:color w:val="001E6E" w:themeColor="accent1"/>
      <w:spacing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7674">
      <w:bodyDiv w:val="1"/>
      <w:marLeft w:val="0"/>
      <w:marRight w:val="0"/>
      <w:marTop w:val="0"/>
      <w:marBottom w:val="0"/>
      <w:divBdr>
        <w:top w:val="none" w:sz="0" w:space="0" w:color="auto"/>
        <w:left w:val="none" w:sz="0" w:space="0" w:color="auto"/>
        <w:bottom w:val="none" w:sz="0" w:space="0" w:color="auto"/>
        <w:right w:val="none" w:sz="0" w:space="0" w:color="auto"/>
      </w:divBdr>
    </w:div>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631717549">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61095703">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 w:id="154764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062D6B"/>
    <w:rsid w:val="001E2280"/>
    <w:rsid w:val="007C1278"/>
    <w:rsid w:val="008610EC"/>
    <w:rsid w:val="00A45F30"/>
    <w:rsid w:val="00DE4669"/>
    <w:rsid w:val="00E43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yCustomData xmlns="ASX_CustomDocumentInfoPanel">
  <ASX_DocumentType>Board paper</ASX_DocumentType>
  <ASX_DocumentTitle>Getting ready to invest</ASX_DocumentTitle>
  <ASX_DocumentSubtitle>Schools Sharemarket Game</ASX_DocumentSubtitle>
  <ASX_Version>X.X</ASX_Version>
  <ASX_LastUpdated>Month Year</ASX_LastUpdated>
  <ASX_Security/>
</MyCustomData>
</file>

<file path=customXml/itemProps1.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customXml/itemProps2.xml><?xml version="1.0" encoding="utf-8"?>
<ds:datastoreItem xmlns:ds="http://schemas.openxmlformats.org/officeDocument/2006/customXml" ds:itemID="{18EAB90E-768C-445F-80DB-B5D8BB591F22}">
  <ds:schemaRefs>
    <ds:schemaRef ds:uri="ASX_CustomDocumentInfoPan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1700</Words>
  <Characters>8388</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3</cp:revision>
  <cp:lastPrinted>2024-04-29T05:20:00Z</cp:lastPrinted>
  <dcterms:created xsi:type="dcterms:W3CDTF">2025-07-10T00:43:00Z</dcterms:created>
  <dcterms:modified xsi:type="dcterms:W3CDTF">2025-07-10T00:58:00Z</dcterms:modified>
  <cp:category/>
</cp:coreProperties>
</file>